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8D7711" w:rsidRDefault="009959E4" w:rsidP="009959E4">
      <w:pPr>
        <w:jc w:val="center"/>
        <w:rPr>
          <w:spacing w:val="40"/>
          <w:sz w:val="18"/>
          <w:szCs w:val="18"/>
        </w:rPr>
      </w:pPr>
    </w:p>
    <w:p w:rsidR="009959E4" w:rsidRPr="001162F4" w:rsidRDefault="00870D79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30</w:t>
      </w:r>
      <w:r w:rsidR="00B119E5">
        <w:rPr>
          <w:sz w:val="26"/>
          <w:szCs w:val="26"/>
        </w:rPr>
        <w:t xml:space="preserve"> </w:t>
      </w:r>
      <w:r w:rsidR="00950965">
        <w:rPr>
          <w:sz w:val="26"/>
          <w:szCs w:val="26"/>
        </w:rPr>
        <w:t>декабря</w:t>
      </w:r>
      <w:r w:rsidR="00B119E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 w:rsidR="00DB3C6B"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2B4A6B">
        <w:rPr>
          <w:sz w:val="26"/>
          <w:szCs w:val="26"/>
        </w:rPr>
        <w:t xml:space="preserve">                </w:t>
      </w:r>
      <w:r w:rsidR="006D4301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        № </w:t>
      </w:r>
      <w:r w:rsidR="00950965">
        <w:rPr>
          <w:sz w:val="26"/>
          <w:szCs w:val="26"/>
        </w:rPr>
        <w:t>4</w:t>
      </w:r>
      <w:r w:rsidR="00806A6F">
        <w:rPr>
          <w:sz w:val="26"/>
          <w:szCs w:val="26"/>
        </w:rPr>
        <w:t>/1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D73C39" w:rsidP="008F42EB">
      <w:pPr>
        <w:pStyle w:val="a3"/>
        <w:widowControl w:val="0"/>
        <w:tabs>
          <w:tab w:val="left" w:pos="284"/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D73C39">
        <w:rPr>
          <w:sz w:val="26"/>
          <w:szCs w:val="26"/>
        </w:rPr>
        <w:t>Информация о ходе выполнения территориального трехстороннего соглашения между администрацией муниципального образования город-курорт Анапа, городским объединением организаций профессиональных союзов и объединением работодате</w:t>
      </w:r>
      <w:r w:rsidR="00870D79">
        <w:rPr>
          <w:sz w:val="26"/>
          <w:szCs w:val="26"/>
        </w:rPr>
        <w:t>лей в 2020</w:t>
      </w:r>
      <w:r w:rsidRPr="00D73C39">
        <w:rPr>
          <w:sz w:val="26"/>
          <w:szCs w:val="26"/>
        </w:rPr>
        <w:t xml:space="preserve"> году</w:t>
      </w:r>
    </w:p>
    <w:p w:rsidR="009959E4" w:rsidRPr="008D7711" w:rsidRDefault="009959E4" w:rsidP="009959E4">
      <w:pPr>
        <w:pStyle w:val="a3"/>
        <w:widowControl w:val="0"/>
        <w:spacing w:before="0" w:after="0"/>
        <w:rPr>
          <w:bCs/>
          <w:sz w:val="18"/>
          <w:szCs w:val="18"/>
        </w:rPr>
      </w:pP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Для обеспечения регулирования социально-трудовых отношений и согласования социально-экономических интересов сторон продолжала свою работу Территориальная трехсторонняя к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миссия по регулированию социально-трудовых отношений в муниципальном образовании г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род-курорт Анапа.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70D79">
        <w:rPr>
          <w:rFonts w:eastAsia="Calibri"/>
          <w:sz w:val="26"/>
          <w:szCs w:val="26"/>
          <w:lang w:eastAsia="en-US"/>
        </w:rPr>
        <w:t>В 2020 году проведено 3 заседания комиссии, на которых рассмотрены наиболее острые в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просы социально-трудовых отношений, в том числе о проведении специальной оценки условий труда; о трудоустройстве инвалидов; об организации оздоровительной компании детей; о пр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изводственном травматизме в организациях муниципального образования город-курорт Анапа; о реализации Закона Краснодарского края  от 7 августа 2000 г. № 310-КЗ «О социальном пар</w:t>
      </w:r>
      <w:r w:rsidRPr="00870D79">
        <w:rPr>
          <w:rFonts w:eastAsia="Calibri"/>
          <w:sz w:val="26"/>
          <w:szCs w:val="26"/>
          <w:lang w:eastAsia="en-US"/>
        </w:rPr>
        <w:t>т</w:t>
      </w:r>
      <w:r w:rsidRPr="00870D79">
        <w:rPr>
          <w:rFonts w:eastAsia="Calibri"/>
          <w:sz w:val="26"/>
          <w:szCs w:val="26"/>
          <w:lang w:eastAsia="en-US"/>
        </w:rPr>
        <w:t>нерстве в Краснодарском крае»;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о выполнении мероприятий по содействию занятости насел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ния в муниципальном образовании город-курорт Анапа, о состоянии коллективно-договорных отношений, о состоянии рынка труда и другие.</w:t>
      </w:r>
    </w:p>
    <w:p w:rsidR="00870D79" w:rsidRDefault="00870D79" w:rsidP="00870D79">
      <w:pPr>
        <w:suppressAutoHyphens w:val="0"/>
        <w:ind w:firstLine="426"/>
        <w:jc w:val="both"/>
        <w:rPr>
          <w:rFonts w:eastAsia="Calibri"/>
          <w:b/>
          <w:sz w:val="26"/>
          <w:szCs w:val="26"/>
          <w:lang w:eastAsia="en-US"/>
        </w:rPr>
      </w:pP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b/>
          <w:sz w:val="26"/>
          <w:szCs w:val="26"/>
          <w:lang w:eastAsia="en-US"/>
        </w:rPr>
      </w:pPr>
      <w:r w:rsidRPr="00870D79">
        <w:rPr>
          <w:rFonts w:eastAsia="Calibri"/>
          <w:b/>
          <w:sz w:val="26"/>
          <w:szCs w:val="26"/>
          <w:lang w:eastAsia="en-US"/>
        </w:rPr>
        <w:t>В сфере экономики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Муниципальное образование город-курорт Анапа относится к территориям туристско-рекреационной зоны; основными системообразующими отраслями являются курортно-туристский комплекс и потребительский рынок.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Основные характеристики ожидаемых итогов 2020 года предполагают отрицательную д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намику большинства показателей развития реального сектора экономики, с учетом главного фактора, повлиявшего на ухудшение финансовых показателей – введения ограничительных м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 xml:space="preserve">роприятий, призванных предотвратить распространение новой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инфекции (СOVID-19).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По итогам работы крупных и средних предприятий за 10 месяцев 2020 года в сравнении с аналогичным периодом 2019 года темп роста объемных показателей в действующих ценах с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ставил: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информация и связь – 206,0%;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розничная торговля – 110,6%;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промышленность – 100,8%;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общественное питание – 100,7%;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транспортировка и хранение – 92,7%;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курортно-туристский комплекс – 63,2%;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строительство – 21,3%.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Предпринимательская активность в муниципальном образовании город-курорт Анапа пр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должает оставаться одной из высоких в Краснодарском крае. Численность хозяйствующих субъектов малого и среднего предпринимательства на 1 октября 2020 г. составила 11033 един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 xml:space="preserve">цы, в том числе численность субъектов малого предпринимательства – 11024 единицы.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lastRenderedPageBreak/>
        <w:t xml:space="preserve">Численность малых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предприятий-юридических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лиц составила 2480 единиц. По состоянию на 1 октября 2020 г. на территории муниципального образования осуществляло деятельность 8,5 тысяч предпринимателей без образования юридического лица.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Численность работников в малом и среднем предпринимательстве на 1 октября 2020 г. с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 xml:space="preserve">ставила 29,2 тыс. человек.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 По итогам 9 месяцев 2020 года совокупный оборот субъектов малого и среднего предпр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 xml:space="preserve">нимательства составил 46504,5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млн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 Снижение показателей в 2020 году связано с введением ограничений осуществления де</w:t>
      </w:r>
      <w:r w:rsidRPr="00870D79">
        <w:rPr>
          <w:rFonts w:eastAsia="Calibri"/>
          <w:sz w:val="26"/>
          <w:szCs w:val="26"/>
          <w:lang w:eastAsia="en-US"/>
        </w:rPr>
        <w:t>я</w:t>
      </w:r>
      <w:r w:rsidRPr="00870D79">
        <w:rPr>
          <w:rFonts w:eastAsia="Calibri"/>
          <w:sz w:val="26"/>
          <w:szCs w:val="26"/>
          <w:lang w:eastAsia="en-US"/>
        </w:rPr>
        <w:t xml:space="preserve">тельности для хозяйствующих субъектов в целях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пре-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дотвращения</w:t>
      </w:r>
      <w:proofErr w:type="spellEnd"/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распространения новой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к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ронавирусной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инфекции (СOVID-19).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В муниципальном образовании на постоянной основе проводится работа по содействию развитию предпринимательства: для субъектов малого бизнеса проводятся «Дни открытых дв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рей», выставки-ярмарки с участием представителей кредитных организаций, по проблемам ра</w:t>
      </w:r>
      <w:r w:rsidRPr="00870D79">
        <w:rPr>
          <w:rFonts w:eastAsia="Calibri"/>
          <w:sz w:val="26"/>
          <w:szCs w:val="26"/>
          <w:lang w:eastAsia="en-US"/>
        </w:rPr>
        <w:t>з</w:t>
      </w:r>
      <w:r w:rsidRPr="00870D79">
        <w:rPr>
          <w:rFonts w:eastAsia="Calibri"/>
          <w:sz w:val="26"/>
          <w:szCs w:val="26"/>
          <w:lang w:eastAsia="en-US"/>
        </w:rPr>
        <w:t>вития предпринимательства проводятся заседания Совета по предпринимательству,  «круглые столы», совещания и обучающие семинары, работает телефон «горячей линии», информация по вопросам развития предпринимательства размещается в печатных средствах массовой инфо</w:t>
      </w:r>
      <w:r w:rsidRPr="00870D79">
        <w:rPr>
          <w:rFonts w:eastAsia="Calibri"/>
          <w:sz w:val="26"/>
          <w:szCs w:val="26"/>
          <w:lang w:eastAsia="en-US"/>
        </w:rPr>
        <w:t>р</w:t>
      </w:r>
      <w:r w:rsidRPr="00870D79">
        <w:rPr>
          <w:rFonts w:eastAsia="Calibri"/>
          <w:sz w:val="26"/>
          <w:szCs w:val="26"/>
          <w:lang w:eastAsia="en-US"/>
        </w:rPr>
        <w:t>мации, на официальном сайте и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инвестпортале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, социальных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сетях</w:t>
      </w:r>
      <w:proofErr w:type="gramEnd"/>
      <w:r w:rsidRPr="00870D79">
        <w:rPr>
          <w:rFonts w:eastAsia="Calibri"/>
          <w:sz w:val="26"/>
          <w:szCs w:val="26"/>
          <w:lang w:eastAsia="en-US"/>
        </w:rPr>
        <w:t>, транслируется по телевиз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онным и радио каналам.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Объем инвестиций, привлеченных в основной капитал крупных и средних организаций, за 1 полугодие 2020 года составил 2226,9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млн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рублей, на 18,6% выше аналогичного показателя пр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 xml:space="preserve">шлого года.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В 1 полугодии 2020 года значительный объем инвестиций показали предприятия: ООО «Абрау-Дюрсо», объем инвестиций составил 414,0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млн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рублей, что в 1,2 раза больше аналоги</w:t>
      </w:r>
      <w:r w:rsidRPr="00870D79">
        <w:rPr>
          <w:rFonts w:eastAsia="Calibri"/>
          <w:sz w:val="26"/>
          <w:szCs w:val="26"/>
          <w:lang w:eastAsia="en-US"/>
        </w:rPr>
        <w:t>ч</w:t>
      </w:r>
      <w:r w:rsidRPr="00870D79">
        <w:rPr>
          <w:rFonts w:eastAsia="Calibri"/>
          <w:sz w:val="26"/>
          <w:szCs w:val="26"/>
          <w:lang w:eastAsia="en-US"/>
        </w:rPr>
        <w:t>ного показателя прошлого года – осуществляется реализация инвестиционного проекта «Разв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 xml:space="preserve">тие виноградарства ООО «Абрау-Дюрсо»; компания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South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Stream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Transport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B.V. –                               555,6 млн рублей, что на 68,8% больше аналогичного показателя прошлого года – осуществл</w:t>
      </w:r>
      <w:r w:rsidRPr="00870D79">
        <w:rPr>
          <w:rFonts w:eastAsia="Calibri"/>
          <w:sz w:val="26"/>
          <w:szCs w:val="26"/>
          <w:lang w:eastAsia="en-US"/>
        </w:rPr>
        <w:t>я</w:t>
      </w:r>
      <w:r w:rsidRPr="00870D79">
        <w:rPr>
          <w:rFonts w:eastAsia="Calibri"/>
          <w:sz w:val="26"/>
          <w:szCs w:val="26"/>
          <w:lang w:eastAsia="en-US"/>
        </w:rPr>
        <w:t>ются мероприятия по содержанию и эксплуатации объекта; управление капитального стро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 xml:space="preserve">тельства администрации муниципального образования город-курорт Анапа – 190,0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млн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рублей, что в 11,4 раза больше уровня 2019 года – осуществляется строительство объектов водоснабж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ния и газоснабжения в соответствии с муниципальными программами.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2020 году на территории муниципального образования город-курорт Анапа продолжается реализация 16 крупных инвестиционных проектов с объемом инвестиций 27,2 млрд. рублей, в результате которых планируется создание порядка 2600 новых рабочих мест.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Актуализирован Единый реестр инвестиционных предложений муниципального образов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ния город-курорт Анапа, в который включено 3 инвестиционно-привлекательных земельных участка и 3 инвестиционных проекта.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70D79">
        <w:rPr>
          <w:rFonts w:eastAsia="Calibri"/>
          <w:sz w:val="26"/>
          <w:szCs w:val="26"/>
          <w:lang w:eastAsia="en-US"/>
        </w:rPr>
        <w:t>В целях недопущения необоснованного роста цен на социально значимые продукты питания в течение года с руководителями предприятий, реализующих социально значимые продукты питания, проводится работа, направленная на расширение ассортимента и установление размера торговой наценки на данную группу товаров не выше 10,0%. За 10 месяцев мобильными гру</w:t>
      </w:r>
      <w:r w:rsidRPr="00870D79">
        <w:rPr>
          <w:rFonts w:eastAsia="Calibri"/>
          <w:sz w:val="26"/>
          <w:szCs w:val="26"/>
          <w:lang w:eastAsia="en-US"/>
        </w:rPr>
        <w:t>п</w:t>
      </w:r>
      <w:r w:rsidRPr="00870D79">
        <w:rPr>
          <w:rFonts w:eastAsia="Calibri"/>
          <w:sz w:val="26"/>
          <w:szCs w:val="26"/>
          <w:lang w:eastAsia="en-US"/>
        </w:rPr>
        <w:t>пами проведено 48 информационно-аналитических мониторингов, нарушений не выявлено.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В целях продовольственной безопасности и увеличения доли продукции кубанских производит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лей, проводятся мониторинги предприятий оптовой и розничной торговли, которые показыв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ют, что доля объема продажи продукции краевых товаропроизводителей  в среднем по группе товаров оставляет 72%.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На постоянной основе осуществлялась реализация мероприятий, направленных на мобил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 xml:space="preserve">зацию доходов в консолидированный бюджет, сокращение недоимки по налоговым платежам.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За 10 месяцев 2020 года проведено 67 заседаний комиссии по мобилизации доходов, засл</w:t>
      </w:r>
      <w:r w:rsidRPr="00870D79">
        <w:rPr>
          <w:rFonts w:eastAsia="Calibri"/>
          <w:sz w:val="26"/>
          <w:szCs w:val="26"/>
          <w:lang w:eastAsia="en-US"/>
        </w:rPr>
        <w:t>у</w:t>
      </w:r>
      <w:r w:rsidRPr="00870D79">
        <w:rPr>
          <w:rFonts w:eastAsia="Calibri"/>
          <w:sz w:val="26"/>
          <w:szCs w:val="26"/>
          <w:lang w:eastAsia="en-US"/>
        </w:rPr>
        <w:t>шано 116 предприятий, 9 индивидуальных предпринимателей, 1871 физическое лицо. Рассмо</w:t>
      </w:r>
      <w:r w:rsidRPr="00870D79">
        <w:rPr>
          <w:rFonts w:eastAsia="Calibri"/>
          <w:sz w:val="26"/>
          <w:szCs w:val="26"/>
          <w:lang w:eastAsia="en-US"/>
        </w:rPr>
        <w:t>т</w:t>
      </w:r>
      <w:r w:rsidRPr="00870D79">
        <w:rPr>
          <w:rFonts w:eastAsia="Calibri"/>
          <w:sz w:val="26"/>
          <w:szCs w:val="26"/>
          <w:lang w:eastAsia="en-US"/>
        </w:rPr>
        <w:t>рена задолженность в консолидированный бюджет края на сумму 72,2 млн. рублей. В результ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те в консолидированный бюджет края взыскано 70,4 млн. рублей.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lastRenderedPageBreak/>
        <w:t xml:space="preserve">В целях сокращения недоимки по имущественным налогам осуществляются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подворовые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обходы. По результатам работы за 10 месяцев 2020 года 8963 налогоплательщика погасили з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долженность на сумму 28,7 млн. рублей.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целях повышения эффективности расходования бюджетных средств обеспечивается фо</w:t>
      </w:r>
      <w:r w:rsidRPr="00870D79">
        <w:rPr>
          <w:rFonts w:eastAsia="Calibri"/>
          <w:sz w:val="26"/>
          <w:szCs w:val="26"/>
          <w:lang w:eastAsia="en-US"/>
        </w:rPr>
        <w:t>р</w:t>
      </w:r>
      <w:r w:rsidRPr="00870D79">
        <w:rPr>
          <w:rFonts w:eastAsia="Calibri"/>
          <w:sz w:val="26"/>
          <w:szCs w:val="26"/>
          <w:lang w:eastAsia="en-US"/>
        </w:rPr>
        <w:t xml:space="preserve">мирование муниципального заказа,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который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размещается в соответствии с требованиями Фед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 По итогам 9 месяцев 2020 года управлением закупок администрации муниципального образования город-курорт Анапа проведено 556 процедур определения поставщиков (подрядчиков, исполнителей), в том числе: 536 электронных аукционов, 19 открытых конкурсов в электронной форме, 1 закрытый конкурс. Для осуществления муниципальных нужд, учреждениями муниципального образов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ния город-курорт Анапа заключен 7901 муниципальный контракт в соответствии со статьей 93 Закона № 44-ФЗ (закупка у единственного поставщика).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Общая сумма начальных (максимальных) цен муниципальных контрактов, за исключением контрактов, заключенных с единственным поставщиком (подрядчиком, исполнителем) состав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 xml:space="preserve">ла 2,0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млрд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рублей. По итогам конкурентных процедур, заключены муниципальные контракты на сумму 1,6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млрд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рублей. Экономия бюджетных средств составила 374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млн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Администрацией города обеспечивается реализация 15 государственных и 19 муниципал</w:t>
      </w:r>
      <w:r w:rsidRPr="00870D79">
        <w:rPr>
          <w:rFonts w:eastAsia="Calibri"/>
          <w:sz w:val="26"/>
          <w:szCs w:val="26"/>
          <w:lang w:eastAsia="en-US"/>
        </w:rPr>
        <w:t>ь</w:t>
      </w:r>
      <w:r w:rsidRPr="00870D79">
        <w:rPr>
          <w:rFonts w:eastAsia="Calibri"/>
          <w:sz w:val="26"/>
          <w:szCs w:val="26"/>
          <w:lang w:eastAsia="en-US"/>
        </w:rPr>
        <w:t xml:space="preserve">ных программ, направленных на решение вопросов экономического и социального развития территории. За 10 месяцев 2020 года на реализацию программных мероприятий израсходовано 3,8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млрд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рублей бюджетных средств, в том числе 1,8 млрд рублей – средства бюджета муниц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пального образования.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По состоянию на 1 октября 2020 г. отмечается положительная динамика показателей, хара</w:t>
      </w:r>
      <w:r w:rsidRPr="00870D79">
        <w:rPr>
          <w:rFonts w:eastAsia="Calibri"/>
          <w:sz w:val="26"/>
          <w:szCs w:val="26"/>
          <w:lang w:eastAsia="en-US"/>
        </w:rPr>
        <w:t>к</w:t>
      </w:r>
      <w:r w:rsidRPr="00870D79">
        <w:rPr>
          <w:rFonts w:eastAsia="Calibri"/>
          <w:sz w:val="26"/>
          <w:szCs w:val="26"/>
          <w:lang w:eastAsia="en-US"/>
        </w:rPr>
        <w:t>теризующих уровень жизни населения муниципального образования город-курорт Анапа: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темп роста фонда оплаты труда – 104,4%;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среднемесячный размер заработной платы работников крупных и средних организаций – 33847,2 рублей – на 2,0% выше аналогичного периода прошлого года.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b/>
          <w:sz w:val="26"/>
          <w:szCs w:val="26"/>
          <w:lang w:eastAsia="en-US"/>
        </w:rPr>
      </w:pPr>
      <w:r w:rsidRPr="00870D79">
        <w:rPr>
          <w:rFonts w:eastAsia="Calibri"/>
          <w:b/>
          <w:sz w:val="26"/>
          <w:szCs w:val="26"/>
          <w:lang w:eastAsia="en-US"/>
        </w:rPr>
        <w:t>Развитие рынка труда и содействие занятости населения, заработная плата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70D79">
        <w:rPr>
          <w:rFonts w:eastAsia="Calibri"/>
          <w:sz w:val="26"/>
          <w:szCs w:val="26"/>
          <w:lang w:eastAsia="en-US"/>
        </w:rPr>
        <w:t>В целях организации работы по содействию занятости населения и кадрового обеспечения организаций муниципального образования город-курорт Анапа заместителем главы муниц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пального образования город-курорт Анапа утвержден перечень мероприятий по содействию з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нятости населения в муниципальном образовании город-курорт Анапа на 2019-2020 годы, в к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тором отражены мероприятия по оказанию содействия занятости населения и развитию труд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вых ресурсов, объемах финансирования и результатах реализации мероприятий.</w:t>
      </w:r>
      <w:proofErr w:type="gramEnd"/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Организована работа по размещению в СМИ информации о состоянии рынка труда, во</w:t>
      </w:r>
      <w:r w:rsidRPr="00870D79">
        <w:rPr>
          <w:rFonts w:eastAsia="Calibri"/>
          <w:sz w:val="26"/>
          <w:szCs w:val="26"/>
          <w:lang w:eastAsia="en-US"/>
        </w:rPr>
        <w:t>з</w:t>
      </w:r>
      <w:r w:rsidRPr="00870D79">
        <w:rPr>
          <w:rFonts w:eastAsia="Calibri"/>
          <w:sz w:val="26"/>
          <w:szCs w:val="26"/>
          <w:lang w:eastAsia="en-US"/>
        </w:rPr>
        <w:t>можностях трудоустройства и профессионального обучения, мероприятиях активной политики занятости населения. За 11 месяцев 2020 года опубликовано 11 статей в городских и краевых СМИ, проведено 2 выступления на телевидении, ежемесячно размещается информация о вака</w:t>
      </w:r>
      <w:r w:rsidRPr="00870D79">
        <w:rPr>
          <w:rFonts w:eastAsia="Calibri"/>
          <w:sz w:val="26"/>
          <w:szCs w:val="26"/>
          <w:lang w:eastAsia="en-US"/>
        </w:rPr>
        <w:t>н</w:t>
      </w:r>
      <w:r w:rsidRPr="00870D79">
        <w:rPr>
          <w:rFonts w:eastAsia="Calibri"/>
          <w:sz w:val="26"/>
          <w:szCs w:val="26"/>
          <w:lang w:eastAsia="en-US"/>
        </w:rPr>
        <w:t>сиях в газетах, на интернет-сайтах, на информационном портале труда и занятости и сайте а</w:t>
      </w:r>
      <w:r w:rsidRPr="00870D79">
        <w:rPr>
          <w:rFonts w:eastAsia="Calibri"/>
          <w:sz w:val="26"/>
          <w:szCs w:val="26"/>
          <w:lang w:eastAsia="en-US"/>
        </w:rPr>
        <w:t>д</w:t>
      </w:r>
      <w:r w:rsidRPr="00870D79">
        <w:rPr>
          <w:rFonts w:eastAsia="Calibri"/>
          <w:sz w:val="26"/>
          <w:szCs w:val="26"/>
          <w:lang w:eastAsia="en-US"/>
        </w:rPr>
        <w:t>министрации муниципального образования город-курорт Анапа, изготовлены информационные буклеты, брошюры и памятки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,.</w:t>
      </w:r>
      <w:proofErr w:type="gramEnd"/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Для эффективного трудоустройства центр занятости населения реализует мероприятия а</w:t>
      </w:r>
      <w:r w:rsidRPr="00870D79">
        <w:rPr>
          <w:rFonts w:eastAsia="Calibri"/>
          <w:sz w:val="26"/>
          <w:szCs w:val="26"/>
          <w:lang w:eastAsia="en-US"/>
        </w:rPr>
        <w:t>к</w:t>
      </w:r>
      <w:r w:rsidRPr="00870D79">
        <w:rPr>
          <w:rFonts w:eastAsia="Calibri"/>
          <w:sz w:val="26"/>
          <w:szCs w:val="26"/>
          <w:lang w:eastAsia="en-US"/>
        </w:rPr>
        <w:t xml:space="preserve">тивной политики занятости, оказывает услуги по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профобучению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граждан для заполнения зая</w:t>
      </w:r>
      <w:r w:rsidRPr="00870D79">
        <w:rPr>
          <w:rFonts w:eastAsia="Calibri"/>
          <w:sz w:val="26"/>
          <w:szCs w:val="26"/>
          <w:lang w:eastAsia="en-US"/>
        </w:rPr>
        <w:t>в</w:t>
      </w:r>
      <w:r w:rsidRPr="00870D79">
        <w:rPr>
          <w:rFonts w:eastAsia="Calibri"/>
          <w:sz w:val="26"/>
          <w:szCs w:val="26"/>
          <w:lang w:eastAsia="en-US"/>
        </w:rPr>
        <w:t>ленных вакансий, проводит ярмарки вакансий. За 11 месяцев 2020 года при содействии центра занятости населения города Анапа трудоустроено 4739 человек (34 % от числа обратившихся за содействием в поиске работы). В ярмарках вакансий приняли участие 497 человек, из них нашли работу 343  человека.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В целях совершенствования  и развития системы профессиональной ориентации граждан за 11 месяцев 2020 года проведено 12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профориентационных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мероприятия, в которых приняли уч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 xml:space="preserve">стие 572 подростка. Все несовершеннолетние граждане получили услуги по профориентации, </w:t>
      </w:r>
      <w:r w:rsidRPr="00870D79">
        <w:rPr>
          <w:rFonts w:eastAsia="Calibri"/>
          <w:sz w:val="26"/>
          <w:szCs w:val="26"/>
          <w:lang w:eastAsia="en-US"/>
        </w:rPr>
        <w:lastRenderedPageBreak/>
        <w:t xml:space="preserve">прошли тестирование для определения будущей профессии. Центром занятости не проводились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профориентационные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экскурсии на предприятия в связи с неблагополучной эпидемиологич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ской обстановкой. Проведена 1 акция «Выбери будущее сегодня», в которой приняли участие 12 подростков, состоящих на учете в комиссии по делам несовершеннолетних и защите их прав. Специалистами Центра занятости населения  родительские  и общешкольные собрания  в обр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зовательных учреждениях МО город-курорт Анапа  не проводились в связи с эпидемиологич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 xml:space="preserve">ской обстановкой связанной с новой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короновирусной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инфекцией.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За январь-ноябрь 2020 года получили услугу по профориентации 2518 гражданина,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ищущих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работу.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Центр занятости населения города Анапа еженедельно проводит мониторинг сведений об увольнении работников в связи с ликвидацией организаций либо сокращением численности или штата работников организаций, расположенных на территории города Анапа.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В случае массового увольнения работников специалистами центра занятости населения проводятся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предувольнительные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консультации для информирования работников, подлежащих увольнению о правах, льготах и компенсациях при увольнении, а также о порядке обращения в государственную службу занятости, оказываемых услугах, востребованных профессиях.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В 2020 году проведено 2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предувольнительные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консультации, в которых приняли участие  77 граждан, подлежащих увольнению в связи с ликвидацией организаций либо сокращением чи</w:t>
      </w:r>
      <w:r w:rsidRPr="00870D79">
        <w:rPr>
          <w:rFonts w:eastAsia="Calibri"/>
          <w:sz w:val="26"/>
          <w:szCs w:val="26"/>
          <w:lang w:eastAsia="en-US"/>
        </w:rPr>
        <w:t>с</w:t>
      </w:r>
      <w:r w:rsidRPr="00870D79">
        <w:rPr>
          <w:rFonts w:eastAsia="Calibri"/>
          <w:sz w:val="26"/>
          <w:szCs w:val="26"/>
          <w:lang w:eastAsia="en-US"/>
        </w:rPr>
        <w:t>ленности или штата работников организаций: ЗАО «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Спецтранс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» и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Военно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–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учетный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стол по городу – курорту Анапа.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 На территории Краснодарского края с 8 февраля 2000 года действует закон № 231-КЗ «О квотировании рабочих ме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ст в Кр</w:t>
      </w:r>
      <w:proofErr w:type="gramEnd"/>
      <w:r w:rsidRPr="00870D79">
        <w:rPr>
          <w:rFonts w:eastAsia="Calibri"/>
          <w:sz w:val="26"/>
          <w:szCs w:val="26"/>
          <w:lang w:eastAsia="en-US"/>
        </w:rPr>
        <w:t>аснодарском крае» в соответствии, с которым,  постановлением администрации муниципального образования город-курорт Анапа утвержден перечень пре</w:t>
      </w:r>
      <w:r w:rsidRPr="00870D79">
        <w:rPr>
          <w:rFonts w:eastAsia="Calibri"/>
          <w:sz w:val="26"/>
          <w:szCs w:val="26"/>
          <w:lang w:eastAsia="en-US"/>
        </w:rPr>
        <w:t>д</w:t>
      </w:r>
      <w:r w:rsidRPr="00870D79">
        <w:rPr>
          <w:rFonts w:eastAsia="Calibri"/>
          <w:sz w:val="26"/>
          <w:szCs w:val="26"/>
          <w:lang w:eastAsia="en-US"/>
        </w:rPr>
        <w:t>приятий, организаций которым устанавливаются квоты для трудоустройства граждан, испыт</w:t>
      </w:r>
      <w:r w:rsidRPr="00870D79">
        <w:rPr>
          <w:rFonts w:eastAsia="Calibri"/>
          <w:sz w:val="26"/>
          <w:szCs w:val="26"/>
          <w:lang w:eastAsia="en-US"/>
        </w:rPr>
        <w:t>ы</w:t>
      </w:r>
      <w:r w:rsidRPr="00870D79">
        <w:rPr>
          <w:rFonts w:eastAsia="Calibri"/>
          <w:sz w:val="26"/>
          <w:szCs w:val="26"/>
          <w:lang w:eastAsia="en-US"/>
        </w:rPr>
        <w:t>вающих трудности в поиске работы на 2020 год. Во исполнение Постановления, 206 предпри</w:t>
      </w:r>
      <w:r w:rsidRPr="00870D79">
        <w:rPr>
          <w:rFonts w:eastAsia="Calibri"/>
          <w:sz w:val="26"/>
          <w:szCs w:val="26"/>
          <w:lang w:eastAsia="en-US"/>
        </w:rPr>
        <w:t>я</w:t>
      </w:r>
      <w:r w:rsidRPr="00870D79">
        <w:rPr>
          <w:rFonts w:eastAsia="Calibri"/>
          <w:sz w:val="26"/>
          <w:szCs w:val="26"/>
          <w:lang w:eastAsia="en-US"/>
        </w:rPr>
        <w:t>тий создали 605 рабочих мест  для трудоустройства инвалидов, 477  мест для трудоустройства молодежи; граждан, освобожденных из учреждений, исполняющих наказание в виде лишения свободы - до погашения судимости; граждан, прошедших курс лечения и реабилитации от наркомании и алкоголизма, одиноких и многодетных родителей, воспитывающих несоверше</w:t>
      </w:r>
      <w:r w:rsidRPr="00870D79">
        <w:rPr>
          <w:rFonts w:eastAsia="Calibri"/>
          <w:sz w:val="26"/>
          <w:szCs w:val="26"/>
          <w:lang w:eastAsia="en-US"/>
        </w:rPr>
        <w:t>н</w:t>
      </w:r>
      <w:r w:rsidRPr="00870D79">
        <w:rPr>
          <w:rFonts w:eastAsia="Calibri"/>
          <w:sz w:val="26"/>
          <w:szCs w:val="26"/>
          <w:lang w:eastAsia="en-US"/>
        </w:rPr>
        <w:t xml:space="preserve">нолетних детей, детей-инвалидов, граждан уволенных с военной службы и членов их семей., лиц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предпенсионного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возраста.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Одной из приоритетных задач центра занятости населения является организация и провед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ние общественных работ для граждан, зарегистрированных в целях поиска подходящей работы и безработных. Граждане, работающие на общественных работах, получают от организаций з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 xml:space="preserve">работную плату в размере не ниже 12130 рублей в месяц, а так же материальную поддержку от 1500 до 3000 рублей в месяц за счет средств 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краевого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бюджета.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2020 году приняли участие 57 человек, в том числе 38 безработных граждан получили м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териальную поддержку в размере 3000 рублей в месяц. В 2020 году из местного бюджета на о</w:t>
      </w:r>
      <w:r w:rsidRPr="00870D79">
        <w:rPr>
          <w:rFonts w:eastAsia="Calibri"/>
          <w:sz w:val="26"/>
          <w:szCs w:val="26"/>
          <w:lang w:eastAsia="en-US"/>
        </w:rPr>
        <w:t>р</w:t>
      </w:r>
      <w:r w:rsidRPr="00870D79">
        <w:rPr>
          <w:rFonts w:eastAsia="Calibri"/>
          <w:sz w:val="26"/>
          <w:szCs w:val="26"/>
          <w:lang w:eastAsia="en-US"/>
        </w:rPr>
        <w:t>ганизацию общественных работ денежные средства не выделены.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Граждане, работая на предприятиях санаторно-курортного комплекса, выполняли работы по благоустройству и наведению санитарного порядка курортной зоны, уборке пляжей, обеспеч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ние отдыха и оздоровление детей в период летних каникул. Участие в общественных работах позволяет гражданам получить материальную поддержку в виде временного заработка (дохода); сохранить мотивацию к труду у лиц, имеющих длительный перерыв в работе.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70D79">
        <w:rPr>
          <w:rFonts w:eastAsia="Calibri"/>
          <w:sz w:val="26"/>
          <w:szCs w:val="26"/>
          <w:lang w:eastAsia="en-US"/>
        </w:rPr>
        <w:t>В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рамка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организации общественных работ общественные работы в курортный сезон, 325 человек были трудоустроены на предприятия: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ООО  «Ласковый Берег», ООО «Одиссея», ООО «Санаторий Вита», ООО «Санаторий Черноморская зорька», Федеральное государственное бюджетное образовательное учреждение дополнительного образования "Всероссийский де</w:t>
      </w:r>
      <w:r w:rsidRPr="00870D79">
        <w:rPr>
          <w:rFonts w:eastAsia="Calibri"/>
          <w:sz w:val="26"/>
          <w:szCs w:val="26"/>
          <w:lang w:eastAsia="en-US"/>
        </w:rPr>
        <w:t>т</w:t>
      </w:r>
      <w:r w:rsidRPr="00870D79">
        <w:rPr>
          <w:rFonts w:eastAsia="Calibri"/>
          <w:sz w:val="26"/>
          <w:szCs w:val="26"/>
          <w:lang w:eastAsia="en-US"/>
        </w:rPr>
        <w:t>ский центр «Смена», ООО ДСОК "Жемчужина России", ООО Санаторий "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Рябинушка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", ООО Пансионат "Южный парус", ООО «Одиссея»,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Анапское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взморье», ЗАО «Санаторий Русь», ЗАО Санаторий «Надежда», ООО «Зеленый мир», ИП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Варапай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О.О,</w:t>
      </w:r>
      <w:proofErr w:type="gramEnd"/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lastRenderedPageBreak/>
        <w:t>Организация общественных работ дает возможность работодателю в период временных р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бот присмотреться к работнику, оценить его деловые качества и принять  решение о его труд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устройстве на постоянную работу.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муниципальном образовании организована работа по созданию временных рабочих мест для трудоустройства несовершеннолетних в возрасте от 14 до 18 лет в свободное от учебы вр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мя.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Из муниципального бюджета в 2020 году на мероприятия по организации временного тр</w:t>
      </w:r>
      <w:r w:rsidRPr="00870D79">
        <w:rPr>
          <w:rFonts w:eastAsia="Calibri"/>
          <w:sz w:val="26"/>
          <w:szCs w:val="26"/>
          <w:lang w:eastAsia="en-US"/>
        </w:rPr>
        <w:t>у</w:t>
      </w:r>
      <w:r w:rsidRPr="00870D79">
        <w:rPr>
          <w:rFonts w:eastAsia="Calibri"/>
          <w:sz w:val="26"/>
          <w:szCs w:val="26"/>
          <w:lang w:eastAsia="en-US"/>
        </w:rPr>
        <w:t>доустройства несовершеннолетних денежные средства не выделены.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соответствии с договором о совместной деятельности между центром занятости насел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ния и работодателями за январь-ноябрь 2020 года трудоустроен 802 подростка, в том числе с выплатой материальной поддержки - 726. Из общего числа трудоустроенных – 26 подростков находятся в трудной жизненной ситуации.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Подростки выполняют подсобные и вспомогательные работы, не требующие квалификации. Наиболее востребованными для несовершеннолетних являются вакансии уборщик территории, уборщик подсобных помещений, официант, дворник и др.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связи со сложной эпидемиологической ситуацией ярмарки вакансий для несовершенн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 xml:space="preserve">летних не проводились.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Центром занятости населения проводится работа по содействию в трудоустройстве инвал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дов. Основной проблемой является - несоответствие рекомендаций индивидуальной программы реабилитации (ИПРИ) рабочему месту, которое предлагает работодатель и зачастую в нежел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нии самого инвалида найти работу. Поэтому необходим индивидуальный подход к работе с с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мим инвалидом и с работодателем, доведение информации о материальном стимулировании р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 xml:space="preserve">ботодателя при приеме инвалида на работу.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70D79">
        <w:rPr>
          <w:rFonts w:eastAsia="Calibri"/>
          <w:sz w:val="26"/>
          <w:szCs w:val="26"/>
          <w:lang w:eastAsia="en-US"/>
        </w:rPr>
        <w:t>С 2018 года реализуется программа, предоставление за счет средств краевого бюджета су</w:t>
      </w:r>
      <w:r w:rsidRPr="00870D79">
        <w:rPr>
          <w:rFonts w:eastAsia="Calibri"/>
          <w:sz w:val="26"/>
          <w:szCs w:val="26"/>
          <w:lang w:eastAsia="en-US"/>
        </w:rPr>
        <w:t>б</w:t>
      </w:r>
      <w:r w:rsidRPr="00870D79">
        <w:rPr>
          <w:rFonts w:eastAsia="Calibri"/>
          <w:sz w:val="26"/>
          <w:szCs w:val="26"/>
          <w:lang w:eastAsia="en-US"/>
        </w:rPr>
        <w:t>сидий работодателям (юридическим лицам, за исключением государственных (муниципальных) учреждений, и индивидуальным предпринимателям) в целях возмещение фактических затрат работодателей на заработную плату инвалидов молодого возраста (от 18 до 44 лет) из числа в</w:t>
      </w:r>
      <w:r w:rsidRPr="00870D79">
        <w:rPr>
          <w:rFonts w:eastAsia="Calibri"/>
          <w:sz w:val="26"/>
          <w:szCs w:val="26"/>
          <w:lang w:eastAsia="en-US"/>
        </w:rPr>
        <w:t>ы</w:t>
      </w:r>
      <w:r w:rsidRPr="00870D79">
        <w:rPr>
          <w:rFonts w:eastAsia="Calibri"/>
          <w:sz w:val="26"/>
          <w:szCs w:val="26"/>
          <w:lang w:eastAsia="en-US"/>
        </w:rPr>
        <w:t>пускников высшего и среднего профессионального образования, ищущих работу впервые и принятых на работу по направлению центров занятости населения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в муниципальных образов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ниях. В 2020 году ЗАО «Санаторий «Русь» получил возмещение сре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дств пр</w:t>
      </w:r>
      <w:proofErr w:type="gramEnd"/>
      <w:r w:rsidRPr="00870D79">
        <w:rPr>
          <w:rFonts w:eastAsia="Calibri"/>
          <w:sz w:val="26"/>
          <w:szCs w:val="26"/>
          <w:lang w:eastAsia="en-US"/>
        </w:rPr>
        <w:t>и трудоустройстве 3 инвалидов.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Центр занятости населения города Анапа реализует программу профессионального обуч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 xml:space="preserve">ния и дополнительного профессионального образования по профессиям, востребованным на рынке труда.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январе – ноябре прошли профессиональное обучение 144 безработный гражданин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2020 году на профессиональное обучение и дополнительное профессиональное образов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ние  направлено 22 женщины, находящихся в отпуске по уходу за ребенком до достижения им возраста 3х лет, а также имеющих детей дошкольного возраста, не состоящих в трудовых отн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шениях и обратившиеся в органы службы занятости.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2020 году с января по ноябрь в рамках реализации мероприятий по профессиональному обучению граждан старше 50-ти лет по направлению службы занятости обучено 133 состоящих в трудовых отношения и 10 ищущих работу граждан.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b/>
          <w:sz w:val="26"/>
          <w:szCs w:val="26"/>
          <w:lang w:eastAsia="en-US"/>
        </w:rPr>
      </w:pPr>
      <w:r w:rsidRPr="00870D79">
        <w:rPr>
          <w:rFonts w:eastAsia="Calibri"/>
          <w:b/>
          <w:sz w:val="26"/>
          <w:szCs w:val="26"/>
          <w:lang w:eastAsia="en-US"/>
        </w:rPr>
        <w:t>Социальное партнерство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1.</w:t>
      </w:r>
      <w:r w:rsidRPr="00870D79">
        <w:rPr>
          <w:rFonts w:eastAsia="Calibri"/>
          <w:sz w:val="26"/>
          <w:szCs w:val="26"/>
          <w:lang w:eastAsia="en-US"/>
        </w:rPr>
        <w:tab/>
        <w:t>В настоящее время на территории муниципального образования г-к Анапа действуют 3 отраслевых соглашения, заключенные между территориальными отраслевыми профсоюзами и соответствующими управлениями администрации: образование, торговля и потребительский рынок, культура и территориальное трехстороннее соглашение между администрацией МО г-к Анапа, городским объединением организаций профсоюзов, объединением работодателей.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lastRenderedPageBreak/>
        <w:t>Зарегистрировано 478 коллективных договоров с охватом работающего населения 25 564 человек, что составляет 62,7% % от общего числа работающих в муниципальном образовании города-курорта Анапа.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По сравнению с 2019 годом произошло снижение числа действующих коллективных дог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 xml:space="preserve">воров (в конце ноября  2017 года –509 КД, в конце декабря 2018 года  - 522 КД, в конце декабря 2019 – 500 КД). К сожалению, выросло количество коллективных договоров, не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перезаключе</w:t>
      </w:r>
      <w:r w:rsidRPr="00870D79">
        <w:rPr>
          <w:rFonts w:eastAsia="Calibri"/>
          <w:sz w:val="26"/>
          <w:szCs w:val="26"/>
          <w:lang w:eastAsia="en-US"/>
        </w:rPr>
        <w:t>н</w:t>
      </w:r>
      <w:r w:rsidRPr="00870D79">
        <w:rPr>
          <w:rFonts w:eastAsia="Calibri"/>
          <w:sz w:val="26"/>
          <w:szCs w:val="26"/>
          <w:lang w:eastAsia="en-US"/>
        </w:rPr>
        <w:t>ных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но новый срок. Установлено, что основной причиной снижения численности коллективных договоров является ликвидация организаций  и прекращение деятельности индивидуальных предпринимателей, которые имели коллективные договоры, а также реорганизация организаций  здравоохранения в форме слияния в многопрофильную больницу. 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2020 году 26 организаций не перезаключили коллективные договоры: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- в связи с прекращение деятельности (ликвидация): (ООО «Фея-мебель», ООО фирма «Анапа-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Союзконтракт</w:t>
      </w:r>
      <w:proofErr w:type="spellEnd"/>
      <w:r w:rsidRPr="00870D79">
        <w:rPr>
          <w:rFonts w:eastAsia="Calibri"/>
          <w:sz w:val="26"/>
          <w:szCs w:val="26"/>
          <w:lang w:eastAsia="en-US"/>
        </w:rPr>
        <w:t>», ИП Сорокина О.А., ООО «Лилия», ООО фирма «Эст Парк», ООО «Анапский завод ЖБИ», ООО «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Стройгранд</w:t>
      </w:r>
      <w:proofErr w:type="spellEnd"/>
      <w:r w:rsidRPr="00870D79">
        <w:rPr>
          <w:rFonts w:eastAsia="Calibri"/>
          <w:sz w:val="26"/>
          <w:szCs w:val="26"/>
          <w:lang w:eastAsia="en-US"/>
        </w:rPr>
        <w:t>», ФГКУ «11 отряд ФПС по Краснодарскому краю»,  ЗАО КПП «Лазурный», ИП Филиппов В.В., ИП Ярошенко Д.В.).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-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в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связи с отсутствием трудового коллектива: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 xml:space="preserve">(ИП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Агаян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А.Р., ООО «Брокер», ООО «Норд», ИП Еременко А.Г., ООО «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Эргес</w:t>
      </w:r>
      <w:proofErr w:type="spellEnd"/>
      <w:r w:rsidRPr="00870D79">
        <w:rPr>
          <w:rFonts w:eastAsia="Calibri"/>
          <w:sz w:val="26"/>
          <w:szCs w:val="26"/>
          <w:lang w:eastAsia="en-US"/>
        </w:rPr>
        <w:t>», ПО «Гарант».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ООО «Уральские самоцветы», ООО «Отдело</w:t>
      </w:r>
      <w:r w:rsidRPr="00870D79">
        <w:rPr>
          <w:rFonts w:eastAsia="Calibri"/>
          <w:sz w:val="26"/>
          <w:szCs w:val="26"/>
          <w:lang w:eastAsia="en-US"/>
        </w:rPr>
        <w:t>ч</w:t>
      </w:r>
      <w:r w:rsidRPr="00870D79">
        <w:rPr>
          <w:rFonts w:eastAsia="Calibri"/>
          <w:sz w:val="26"/>
          <w:szCs w:val="26"/>
          <w:lang w:eastAsia="en-US"/>
        </w:rPr>
        <w:t>ник-2», ООО «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Экда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Лимитед»).</w:t>
      </w:r>
      <w:proofErr w:type="gramEnd"/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 xml:space="preserve">- в связи с реорганизацией в форме слияния: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(МБУ «САХ» (реорганизация путем слияния в ГБУЗ «Городская больница города Анапа МЗ КК»), МБУЗ «ДГБ» (реорганизация путем сли</w:t>
      </w:r>
      <w:r w:rsidRPr="00870D79">
        <w:rPr>
          <w:rFonts w:eastAsia="Calibri"/>
          <w:sz w:val="26"/>
          <w:szCs w:val="26"/>
          <w:lang w:eastAsia="en-US"/>
        </w:rPr>
        <w:t>я</w:t>
      </w:r>
      <w:r w:rsidRPr="00870D79">
        <w:rPr>
          <w:rFonts w:eastAsia="Calibri"/>
          <w:sz w:val="26"/>
          <w:szCs w:val="26"/>
          <w:lang w:eastAsia="en-US"/>
        </w:rPr>
        <w:t>ния в ГБУЗ «Городская больница города Анапа МЗ КК», МБУЗ «Амбулатория № 6 (реорган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зация путем слияния в ГБУЗ «Городская больница города Анапа МЗ КК, МКУ «Центр орган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зации закупок УЗ» (17.07.2018 г. реорганизация в форме слияния в ГБУЗ «Городская больница города Анапа» МЗ КК»), МКУЗ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«МИАЦ» (17.07.2018 г. реорганизация в форме слияния в ГБУЗ «Городская больница города Анапа» МЗ КК), МКУ «ЦБ Управления здравоохран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ния»(17.07.2018 г. реорганизация в форме слияния в ГБУЗ «Городская больница города Анапа» МЗ КК).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Работодатели предусмотрели в коллективных договорах дополнительные компенсации и г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рантии по сравнению с действующим законодательством.  В результате проведенного анализа следует, что  в I полугодии 2020 года по предоставлению работникам этих организаций пред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ставлено дополнительных гарантий и компенсаций  на общую сумму 27 735 млн. рублей: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1.</w:t>
      </w:r>
      <w:r w:rsidRPr="00870D79">
        <w:rPr>
          <w:rFonts w:eastAsia="Calibri"/>
          <w:sz w:val="26"/>
          <w:szCs w:val="26"/>
          <w:lang w:eastAsia="en-US"/>
        </w:rPr>
        <w:tab/>
        <w:t>Материальная помощь: к юбилейным датам, на лечение, в связи с регистрацией брака, на погребение, в связи с уходом на пенсию, к ежегодному отпуску, в связи с трудным материал</w:t>
      </w:r>
      <w:r w:rsidRPr="00870D79">
        <w:rPr>
          <w:rFonts w:eastAsia="Calibri"/>
          <w:sz w:val="26"/>
          <w:szCs w:val="26"/>
          <w:lang w:eastAsia="en-US"/>
        </w:rPr>
        <w:t>ь</w:t>
      </w:r>
      <w:r w:rsidRPr="00870D79">
        <w:rPr>
          <w:rFonts w:eastAsia="Calibri"/>
          <w:sz w:val="26"/>
          <w:szCs w:val="26"/>
          <w:lang w:eastAsia="en-US"/>
        </w:rPr>
        <w:t>ным положением, к профессиональным праздникам составила 14 559,9 млн. рублей. Больше всего материальной помощи оказано к профессиональным праздникам 5 039,5 млн. рублей и к ежегодному отпуску 2 875 млн. рублей.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2.</w:t>
      </w:r>
      <w:r w:rsidRPr="00870D79">
        <w:rPr>
          <w:rFonts w:eastAsia="Calibri"/>
          <w:sz w:val="26"/>
          <w:szCs w:val="26"/>
          <w:lang w:eastAsia="en-US"/>
        </w:rPr>
        <w:tab/>
        <w:t>На проведение культурно-массовых и спортивных мероприятий (за исключением средств, направленных на содержание объектов социально-культурной среды) за I полугодие 2020 года работодателями было потрачено более 1 миллиона рублей.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3.</w:t>
      </w:r>
      <w:r w:rsidRPr="00870D79">
        <w:rPr>
          <w:rFonts w:eastAsia="Calibri"/>
          <w:sz w:val="26"/>
          <w:szCs w:val="26"/>
          <w:lang w:eastAsia="en-US"/>
        </w:rPr>
        <w:tab/>
        <w:t>Оплата стоимости питания в организациях на первое полугодие 2020 года составила 881,8 тыс. рублей.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4.</w:t>
      </w:r>
      <w:r w:rsidRPr="00870D79">
        <w:rPr>
          <w:rFonts w:eastAsia="Calibri"/>
          <w:sz w:val="26"/>
          <w:szCs w:val="26"/>
          <w:lang w:eastAsia="en-US"/>
        </w:rPr>
        <w:tab/>
        <w:t>Автотранспорт выделили на сумму 4 541 млн. рублей в 2020 году.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b/>
          <w:sz w:val="26"/>
          <w:szCs w:val="26"/>
          <w:lang w:eastAsia="en-US"/>
        </w:rPr>
      </w:pPr>
      <w:r w:rsidRPr="00870D79">
        <w:rPr>
          <w:rFonts w:eastAsia="Calibri"/>
          <w:b/>
          <w:sz w:val="26"/>
          <w:szCs w:val="26"/>
          <w:lang w:eastAsia="en-US"/>
        </w:rPr>
        <w:t>О выполнении «Регионального соглашения о минимальной заработной плате» в м</w:t>
      </w:r>
      <w:r w:rsidRPr="00870D79">
        <w:rPr>
          <w:rFonts w:eastAsia="Calibri"/>
          <w:b/>
          <w:sz w:val="26"/>
          <w:szCs w:val="26"/>
          <w:lang w:eastAsia="en-US"/>
        </w:rPr>
        <w:t>у</w:t>
      </w:r>
      <w:r w:rsidRPr="00870D79">
        <w:rPr>
          <w:rFonts w:eastAsia="Calibri"/>
          <w:b/>
          <w:sz w:val="26"/>
          <w:szCs w:val="26"/>
          <w:lang w:eastAsia="en-US"/>
        </w:rPr>
        <w:t>ниципальном образовании город-курорт  Анапа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70D79">
        <w:rPr>
          <w:rFonts w:eastAsia="Calibri"/>
          <w:sz w:val="26"/>
          <w:szCs w:val="26"/>
          <w:lang w:eastAsia="en-US"/>
        </w:rPr>
        <w:t xml:space="preserve">В рамках </w:t>
      </w:r>
      <w:proofErr w:type="spellStart"/>
      <w:r w:rsidRPr="00870D79">
        <w:rPr>
          <w:rFonts w:eastAsia="Calibri"/>
          <w:sz w:val="26"/>
          <w:szCs w:val="26"/>
          <w:lang w:eastAsia="en-US"/>
        </w:rPr>
        <w:t>вреализации</w:t>
      </w:r>
      <w:proofErr w:type="spellEnd"/>
      <w:r w:rsidRPr="00870D79">
        <w:rPr>
          <w:rFonts w:eastAsia="Calibri"/>
          <w:sz w:val="26"/>
          <w:szCs w:val="26"/>
          <w:lang w:eastAsia="en-US"/>
        </w:rPr>
        <w:t xml:space="preserve"> Регионального соглашения о минимальной заработной плате в мун</w:t>
      </w:r>
      <w:r w:rsidRPr="00870D79">
        <w:rPr>
          <w:rFonts w:eastAsia="Calibri"/>
          <w:sz w:val="26"/>
          <w:szCs w:val="26"/>
          <w:lang w:eastAsia="en-US"/>
        </w:rPr>
        <w:t>и</w:t>
      </w:r>
      <w:r w:rsidRPr="00870D79">
        <w:rPr>
          <w:rFonts w:eastAsia="Calibri"/>
          <w:sz w:val="26"/>
          <w:szCs w:val="26"/>
          <w:lang w:eastAsia="en-US"/>
        </w:rPr>
        <w:t>ципальном образовании город-курорт  Анапа в мониторинге участвует около 4 тысяч работод</w:t>
      </w:r>
      <w:r w:rsidRPr="00870D79">
        <w:rPr>
          <w:rFonts w:eastAsia="Calibri"/>
          <w:sz w:val="26"/>
          <w:szCs w:val="26"/>
          <w:lang w:eastAsia="en-US"/>
        </w:rPr>
        <w:t>а</w:t>
      </w:r>
      <w:r w:rsidRPr="00870D79">
        <w:rPr>
          <w:rFonts w:eastAsia="Calibri"/>
          <w:sz w:val="26"/>
          <w:szCs w:val="26"/>
          <w:lang w:eastAsia="en-US"/>
        </w:rPr>
        <w:t>телей  различной формы собственности, из которых 478 организаций имеют коллективный д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говор, в том числе  273 организации частной формы собственности и  168 коллективных дог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воров заключены в бюджетных организациях, которые не попадают под действие Региональн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го соглашения о минимальной заработной плате.</w:t>
      </w:r>
      <w:proofErr w:type="gramEnd"/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870D79">
        <w:rPr>
          <w:rFonts w:eastAsia="Calibri"/>
          <w:b/>
          <w:i/>
          <w:sz w:val="26"/>
          <w:szCs w:val="26"/>
          <w:lang w:eastAsia="en-US"/>
        </w:rPr>
        <w:lastRenderedPageBreak/>
        <w:t>Информирование работодателей (представителей работодателей), работников (пре</w:t>
      </w:r>
      <w:r w:rsidRPr="00870D79">
        <w:rPr>
          <w:rFonts w:eastAsia="Calibri"/>
          <w:b/>
          <w:i/>
          <w:sz w:val="26"/>
          <w:szCs w:val="26"/>
          <w:lang w:eastAsia="en-US"/>
        </w:rPr>
        <w:t>д</w:t>
      </w:r>
      <w:r w:rsidRPr="00870D79">
        <w:rPr>
          <w:rFonts w:eastAsia="Calibri"/>
          <w:b/>
          <w:i/>
          <w:sz w:val="26"/>
          <w:szCs w:val="26"/>
          <w:lang w:eastAsia="en-US"/>
        </w:rPr>
        <w:t>ставителей работников) по вопросам реализации трудового законодательства в муниц</w:t>
      </w:r>
      <w:r w:rsidRPr="00870D79">
        <w:rPr>
          <w:rFonts w:eastAsia="Calibri"/>
          <w:b/>
          <w:i/>
          <w:sz w:val="26"/>
          <w:szCs w:val="26"/>
          <w:lang w:eastAsia="en-US"/>
        </w:rPr>
        <w:t>и</w:t>
      </w:r>
      <w:r w:rsidRPr="00870D79">
        <w:rPr>
          <w:rFonts w:eastAsia="Calibri"/>
          <w:b/>
          <w:i/>
          <w:sz w:val="26"/>
          <w:szCs w:val="26"/>
          <w:lang w:eastAsia="en-US"/>
        </w:rPr>
        <w:t>пальном образовании город-курорт Анапа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целях дальнейшего развития социального партнерства, увеличения охвата организаций коллективно-договорными отношениями проводится работа по информированию сторон труд</w:t>
      </w:r>
      <w:r w:rsidRPr="00870D79">
        <w:rPr>
          <w:rFonts w:eastAsia="Calibri"/>
          <w:sz w:val="26"/>
          <w:szCs w:val="26"/>
          <w:lang w:eastAsia="en-US"/>
        </w:rPr>
        <w:t>о</w:t>
      </w:r>
      <w:r w:rsidRPr="00870D79">
        <w:rPr>
          <w:rFonts w:eastAsia="Calibri"/>
          <w:sz w:val="26"/>
          <w:szCs w:val="26"/>
          <w:lang w:eastAsia="en-US"/>
        </w:rPr>
        <w:t>вых  отношений по вопросам реализации трудового законодательства.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На начало декабря 2020 год  проведено 10 семинаров с работодателями, в которых приняло участие  213 представителей работодателей.  На семинарах до работодателей доведена инфо</w:t>
      </w:r>
      <w:r w:rsidRPr="00870D79">
        <w:rPr>
          <w:rFonts w:eastAsia="Calibri"/>
          <w:sz w:val="26"/>
          <w:szCs w:val="26"/>
          <w:lang w:eastAsia="en-US"/>
        </w:rPr>
        <w:t>р</w:t>
      </w:r>
      <w:r w:rsidRPr="00870D79">
        <w:rPr>
          <w:rFonts w:eastAsia="Calibri"/>
          <w:sz w:val="26"/>
          <w:szCs w:val="26"/>
          <w:lang w:eastAsia="en-US"/>
        </w:rPr>
        <w:t xml:space="preserve">мация следующего содержания: Статьи «Электронная трудовая </w:t>
      </w:r>
      <w:proofErr w:type="gramStart"/>
      <w:r w:rsidRPr="00870D79">
        <w:rPr>
          <w:rFonts w:eastAsia="Calibri"/>
          <w:sz w:val="26"/>
          <w:szCs w:val="26"/>
          <w:lang w:eastAsia="en-US"/>
        </w:rPr>
        <w:t>книжка-что</w:t>
      </w:r>
      <w:proofErr w:type="gramEnd"/>
      <w:r w:rsidRPr="00870D79">
        <w:rPr>
          <w:rFonts w:eastAsia="Calibri"/>
          <w:sz w:val="26"/>
          <w:szCs w:val="26"/>
          <w:lang w:eastAsia="en-US"/>
        </w:rPr>
        <w:t xml:space="preserve"> это?»,  «Диспанс</w:t>
      </w:r>
      <w:r w:rsidRPr="00870D79">
        <w:rPr>
          <w:rFonts w:eastAsia="Calibri"/>
          <w:sz w:val="26"/>
          <w:szCs w:val="26"/>
          <w:lang w:eastAsia="en-US"/>
        </w:rPr>
        <w:t>е</w:t>
      </w:r>
      <w:r w:rsidRPr="00870D79">
        <w:rPr>
          <w:rFonts w:eastAsia="Calibri"/>
          <w:sz w:val="26"/>
          <w:szCs w:val="26"/>
          <w:lang w:eastAsia="en-US"/>
        </w:rPr>
        <w:t>ризация для работников старше 40 лет и старше», «О минимальном размере оплаты труда с  1 октября 2020 года», «О величине прожиточного минимума в  Краснодарском крае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за II квартал 2020 года», о проведении регионального конкурса «Российская организация высокой социальной эффективности», «В Анапе наградили победителей конкурса рисунков, пропагандирующих безопасный труд».</w:t>
      </w:r>
    </w:p>
    <w:p w:rsidR="00870D79" w:rsidRPr="00870D79" w:rsidRDefault="00870D79" w:rsidP="00870D79">
      <w:pPr>
        <w:suppressAutoHyphens w:val="0"/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0D79">
        <w:rPr>
          <w:rFonts w:eastAsia="Calibri"/>
          <w:sz w:val="26"/>
          <w:szCs w:val="26"/>
          <w:lang w:eastAsia="en-US"/>
        </w:rPr>
        <w:t>В 2020 году с целью разъяснения трудового законодательства в средствах массовой инфо</w:t>
      </w:r>
      <w:r w:rsidRPr="00870D79">
        <w:rPr>
          <w:rFonts w:eastAsia="Calibri"/>
          <w:sz w:val="26"/>
          <w:szCs w:val="26"/>
          <w:lang w:eastAsia="en-US"/>
        </w:rPr>
        <w:t>р</w:t>
      </w:r>
      <w:r w:rsidRPr="00870D79">
        <w:rPr>
          <w:rFonts w:eastAsia="Calibri"/>
          <w:sz w:val="26"/>
          <w:szCs w:val="26"/>
          <w:lang w:eastAsia="en-US"/>
        </w:rPr>
        <w:t>мации были опубликованы  статьи о преимуществах заключения коллективного договора, о трудовых отношениях.</w:t>
      </w:r>
    </w:p>
    <w:p w:rsidR="00950965" w:rsidRDefault="00870D79" w:rsidP="00D73C39">
      <w:pPr>
        <w:suppressAutoHyphens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Ознакомившись</w:t>
      </w:r>
      <w:r w:rsidR="00950965" w:rsidRPr="00950965">
        <w:rPr>
          <w:sz w:val="26"/>
          <w:szCs w:val="26"/>
        </w:rPr>
        <w:t xml:space="preserve"> и обсудив информацию начальника управления экономики </w:t>
      </w:r>
      <w:bookmarkStart w:id="0" w:name="_GoBack"/>
      <w:bookmarkEnd w:id="0"/>
      <w:r w:rsidR="00950965" w:rsidRPr="00950965">
        <w:rPr>
          <w:sz w:val="26"/>
          <w:szCs w:val="26"/>
        </w:rPr>
        <w:t xml:space="preserve">администрации муниципального образования город-курорт Анапа </w:t>
      </w:r>
      <w:proofErr w:type="spellStart"/>
      <w:r>
        <w:rPr>
          <w:sz w:val="26"/>
          <w:szCs w:val="26"/>
        </w:rPr>
        <w:t>Пушкаревой</w:t>
      </w:r>
      <w:proofErr w:type="spellEnd"/>
      <w:r>
        <w:rPr>
          <w:sz w:val="26"/>
          <w:szCs w:val="26"/>
        </w:rPr>
        <w:t xml:space="preserve"> Е.В</w:t>
      </w:r>
      <w:r w:rsidR="00D73C39">
        <w:rPr>
          <w:sz w:val="26"/>
          <w:szCs w:val="26"/>
        </w:rPr>
        <w:t>.</w:t>
      </w:r>
      <w:r w:rsidR="00950965" w:rsidRPr="00950965">
        <w:rPr>
          <w:sz w:val="26"/>
          <w:szCs w:val="26"/>
        </w:rPr>
        <w:t xml:space="preserve">; </w:t>
      </w:r>
      <w:r w:rsidR="001206AD" w:rsidRPr="001206AD">
        <w:rPr>
          <w:sz w:val="26"/>
          <w:szCs w:val="26"/>
        </w:rPr>
        <w:t>исполняющего обязанн</w:t>
      </w:r>
      <w:r w:rsidR="001206AD" w:rsidRPr="001206AD">
        <w:rPr>
          <w:sz w:val="26"/>
          <w:szCs w:val="26"/>
        </w:rPr>
        <w:t>о</w:t>
      </w:r>
      <w:r w:rsidR="001206AD" w:rsidRPr="001206AD">
        <w:rPr>
          <w:sz w:val="26"/>
          <w:szCs w:val="26"/>
        </w:rPr>
        <w:t xml:space="preserve">сти </w:t>
      </w:r>
      <w:r w:rsidR="00950965" w:rsidRPr="00950965">
        <w:rPr>
          <w:sz w:val="26"/>
          <w:szCs w:val="26"/>
        </w:rPr>
        <w:t>руководителя ГКУ КК «Центр занятости населения в г. Анапа»</w:t>
      </w:r>
      <w:r w:rsidR="00950965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Гирича</w:t>
      </w:r>
      <w:proofErr w:type="spellEnd"/>
      <w:r>
        <w:rPr>
          <w:sz w:val="26"/>
          <w:szCs w:val="26"/>
        </w:rPr>
        <w:t xml:space="preserve"> А</w:t>
      </w:r>
      <w:r w:rsidR="00D73C39">
        <w:rPr>
          <w:sz w:val="26"/>
          <w:szCs w:val="26"/>
        </w:rPr>
        <w:t>.А</w:t>
      </w:r>
      <w:r w:rsidR="00D73C39" w:rsidRPr="00950965">
        <w:rPr>
          <w:sz w:val="26"/>
          <w:szCs w:val="26"/>
        </w:rPr>
        <w:t xml:space="preserve"> </w:t>
      </w:r>
      <w:r w:rsidR="00950965" w:rsidRPr="00950965">
        <w:rPr>
          <w:sz w:val="26"/>
          <w:szCs w:val="26"/>
        </w:rPr>
        <w:t>территориал</w:t>
      </w:r>
      <w:r w:rsidR="00950965" w:rsidRPr="00950965">
        <w:rPr>
          <w:sz w:val="26"/>
          <w:szCs w:val="26"/>
        </w:rPr>
        <w:t>ь</w:t>
      </w:r>
      <w:r w:rsidR="00950965" w:rsidRPr="00950965">
        <w:rPr>
          <w:sz w:val="26"/>
          <w:szCs w:val="26"/>
        </w:rPr>
        <w:t>ная трехсторонняя комиссия РЕШИЛА:</w:t>
      </w:r>
    </w:p>
    <w:p w:rsidR="00616EAD" w:rsidRDefault="00E402E3" w:rsidP="00CE4AF3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E402E3">
        <w:rPr>
          <w:sz w:val="26"/>
          <w:szCs w:val="26"/>
          <w:lang w:eastAsia="ru-RU"/>
        </w:rPr>
        <w:t>1.</w:t>
      </w:r>
      <w:r w:rsidRPr="00E402E3">
        <w:rPr>
          <w:sz w:val="26"/>
          <w:szCs w:val="26"/>
          <w:lang w:eastAsia="ru-RU"/>
        </w:rPr>
        <w:tab/>
      </w:r>
      <w:r w:rsidR="00950965" w:rsidRPr="00950965">
        <w:rPr>
          <w:sz w:val="26"/>
          <w:szCs w:val="26"/>
          <w:lang w:eastAsia="ru-RU"/>
        </w:rPr>
        <w:t xml:space="preserve">Информацию о ходе выполнения территориального трехстороннего соглашения между администрацией муниципального образования город-курорт Анапа, городским объединением организаций профессиональных союзов и </w:t>
      </w:r>
      <w:r w:rsidR="00870D79">
        <w:rPr>
          <w:sz w:val="26"/>
          <w:szCs w:val="26"/>
          <w:lang w:eastAsia="ru-RU"/>
        </w:rPr>
        <w:t>объединением работодателей в 2020</w:t>
      </w:r>
      <w:r w:rsidR="00950965" w:rsidRPr="00950965">
        <w:rPr>
          <w:sz w:val="26"/>
          <w:szCs w:val="26"/>
          <w:lang w:eastAsia="ru-RU"/>
        </w:rPr>
        <w:t xml:space="preserve"> году принять к сведению.</w:t>
      </w:r>
    </w:p>
    <w:p w:rsidR="00CE4AF3" w:rsidRPr="00CE4AF3" w:rsidRDefault="00CE4AF3" w:rsidP="00CE4AF3">
      <w:pPr>
        <w:suppressAutoHyphens w:val="0"/>
        <w:ind w:firstLine="426"/>
        <w:jc w:val="both"/>
        <w:rPr>
          <w:sz w:val="16"/>
          <w:szCs w:val="16"/>
        </w:rPr>
      </w:pPr>
    </w:p>
    <w:tbl>
      <w:tblPr>
        <w:tblW w:w="10914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827"/>
        <w:gridCol w:w="3827"/>
      </w:tblGrid>
      <w:tr w:rsidR="00FD2D4F" w:rsidRPr="00D11225" w:rsidTr="00CE4AF3">
        <w:tc>
          <w:tcPr>
            <w:tcW w:w="3260" w:type="dxa"/>
          </w:tcPr>
          <w:p w:rsidR="00FD2D4F" w:rsidRPr="00D11225" w:rsidRDefault="00FD2D4F" w:rsidP="00AD2D8D">
            <w:pPr>
              <w:snapToGrid w:val="0"/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50965" w:rsidRDefault="00950965" w:rsidP="00AD2D8D">
            <w:pPr>
              <w:ind w:firstLine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FD2D4F" w:rsidRPr="00D11225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ь</w:t>
            </w:r>
            <w:r w:rsidR="00FD2D4F" w:rsidRPr="00D11225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лавы муниципального образования</w:t>
            </w: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город-курорт Анапа</w:t>
            </w:r>
          </w:p>
          <w:p w:rsidR="00FD2D4F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ind w:firstLine="33"/>
              <w:rPr>
                <w:sz w:val="26"/>
                <w:szCs w:val="26"/>
              </w:rPr>
            </w:pPr>
          </w:p>
          <w:p w:rsidR="00FD2D4F" w:rsidRPr="00D11225" w:rsidRDefault="00FD2D4F" w:rsidP="00950965">
            <w:pPr>
              <w:ind w:firstLine="33"/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 xml:space="preserve">                </w:t>
            </w:r>
            <w:r w:rsidR="00950965">
              <w:rPr>
                <w:sz w:val="26"/>
                <w:szCs w:val="26"/>
              </w:rPr>
              <w:t>Р.А. Дикий</w:t>
            </w:r>
          </w:p>
        </w:tc>
        <w:tc>
          <w:tcPr>
            <w:tcW w:w="3827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FD2D4F" w:rsidRPr="00D11225" w:rsidRDefault="00FD2D4F" w:rsidP="00AD2D8D">
            <w:pPr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Председатель к</w:t>
            </w:r>
            <w:r>
              <w:rPr>
                <w:sz w:val="26"/>
                <w:szCs w:val="26"/>
              </w:rPr>
              <w:t>оординационного Совета профсоюзных организаций</w:t>
            </w:r>
            <w:r w:rsidRPr="00D11225">
              <w:rPr>
                <w:sz w:val="26"/>
                <w:szCs w:val="26"/>
              </w:rPr>
              <w:t xml:space="preserve"> муниципального образования город-курорт Анапа</w:t>
            </w:r>
          </w:p>
          <w:p w:rsidR="00FD2D4F" w:rsidRPr="00D11225" w:rsidRDefault="00FD2D4F" w:rsidP="00AD2D8D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827" w:type="dxa"/>
          </w:tcPr>
          <w:p w:rsidR="00FD2D4F" w:rsidRPr="00D11225" w:rsidRDefault="00FD2D4F" w:rsidP="00AD2D8D">
            <w:pPr>
              <w:snapToGrid w:val="0"/>
              <w:rPr>
                <w:sz w:val="26"/>
                <w:szCs w:val="26"/>
              </w:rPr>
            </w:pPr>
            <w:r w:rsidRPr="00E7437E">
              <w:rPr>
                <w:sz w:val="26"/>
                <w:szCs w:val="26"/>
              </w:rPr>
              <w:t xml:space="preserve">Сопредседатель комиссии от территориального объединения работодателей </w:t>
            </w:r>
            <w:r>
              <w:rPr>
                <w:sz w:val="26"/>
                <w:szCs w:val="26"/>
              </w:rPr>
              <w:t xml:space="preserve">Председатель </w:t>
            </w:r>
            <w:r w:rsidRPr="00E7437E">
              <w:rPr>
                <w:sz w:val="26"/>
                <w:szCs w:val="26"/>
              </w:rPr>
              <w:t>Союза работодателей территориального объединения работодателей муниципального образования город-курорт Анапа</w:t>
            </w:r>
          </w:p>
          <w:p w:rsidR="00FD2D4F" w:rsidRDefault="00FD2D4F" w:rsidP="00AD2D8D">
            <w:pPr>
              <w:jc w:val="right"/>
              <w:rPr>
                <w:sz w:val="26"/>
                <w:szCs w:val="26"/>
              </w:rPr>
            </w:pPr>
          </w:p>
          <w:p w:rsidR="00FD2D4F" w:rsidRPr="00D11225" w:rsidRDefault="00FD2D4F" w:rsidP="00AD2D8D">
            <w:pPr>
              <w:jc w:val="right"/>
              <w:rPr>
                <w:sz w:val="26"/>
                <w:szCs w:val="26"/>
              </w:rPr>
            </w:pPr>
            <w:r w:rsidRPr="00D11225">
              <w:rPr>
                <w:sz w:val="26"/>
                <w:szCs w:val="26"/>
              </w:rPr>
              <w:t>А.А.</w:t>
            </w:r>
            <w:r>
              <w:rPr>
                <w:sz w:val="26"/>
                <w:szCs w:val="26"/>
              </w:rPr>
              <w:t xml:space="preserve"> </w:t>
            </w:r>
            <w:r w:rsidRPr="00D11225">
              <w:rPr>
                <w:sz w:val="26"/>
                <w:szCs w:val="26"/>
              </w:rPr>
              <w:t>Дмитров</w:t>
            </w:r>
          </w:p>
        </w:tc>
      </w:tr>
    </w:tbl>
    <w:p w:rsidR="009D1A1E" w:rsidRDefault="009D1A1E" w:rsidP="00CE4AF3"/>
    <w:sectPr w:rsidR="009D1A1E" w:rsidSect="00D73C39">
      <w:headerReference w:type="default" r:id="rId8"/>
      <w:pgSz w:w="11906" w:h="16838" w:code="9"/>
      <w:pgMar w:top="709" w:right="567" w:bottom="567" w:left="56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C6" w:rsidRDefault="00DB12C6" w:rsidP="00CE4AF3">
      <w:r>
        <w:separator/>
      </w:r>
    </w:p>
  </w:endnote>
  <w:endnote w:type="continuationSeparator" w:id="0">
    <w:p w:rsidR="00DB12C6" w:rsidRDefault="00DB12C6" w:rsidP="00CE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C6" w:rsidRDefault="00DB12C6" w:rsidP="00CE4AF3">
      <w:r>
        <w:separator/>
      </w:r>
    </w:p>
  </w:footnote>
  <w:footnote w:type="continuationSeparator" w:id="0">
    <w:p w:rsidR="00DB12C6" w:rsidRDefault="00DB12C6" w:rsidP="00CE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998918"/>
      <w:docPartObj>
        <w:docPartGallery w:val="Page Numbers (Top of Page)"/>
        <w:docPartUnique/>
      </w:docPartObj>
    </w:sdtPr>
    <w:sdtEndPr/>
    <w:sdtContent>
      <w:p w:rsidR="00D73C39" w:rsidRDefault="00D73C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F1">
          <w:rPr>
            <w:noProof/>
          </w:rPr>
          <w:t>7</w:t>
        </w:r>
        <w:r>
          <w:fldChar w:fldCharType="end"/>
        </w:r>
      </w:p>
    </w:sdtContent>
  </w:sdt>
  <w:p w:rsidR="00D73C39" w:rsidRDefault="00D73C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06AD"/>
    <w:rsid w:val="001221A9"/>
    <w:rsid w:val="00124B1C"/>
    <w:rsid w:val="00124F49"/>
    <w:rsid w:val="00131AC9"/>
    <w:rsid w:val="001326A7"/>
    <w:rsid w:val="00133405"/>
    <w:rsid w:val="00136749"/>
    <w:rsid w:val="00143F8F"/>
    <w:rsid w:val="001512C3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26F1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571C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B4A6B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0B4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3731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5BB6"/>
    <w:rsid w:val="00524818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74601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6EAD"/>
    <w:rsid w:val="00617701"/>
    <w:rsid w:val="00617C15"/>
    <w:rsid w:val="0062110A"/>
    <w:rsid w:val="006214D1"/>
    <w:rsid w:val="00627142"/>
    <w:rsid w:val="006302A1"/>
    <w:rsid w:val="00633BA7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4301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EC6"/>
    <w:rsid w:val="008552BB"/>
    <w:rsid w:val="008640BF"/>
    <w:rsid w:val="00870D79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3BB5"/>
    <w:rsid w:val="0094618A"/>
    <w:rsid w:val="00950965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84F09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119E5"/>
    <w:rsid w:val="00B20C21"/>
    <w:rsid w:val="00B31309"/>
    <w:rsid w:val="00B32538"/>
    <w:rsid w:val="00B33527"/>
    <w:rsid w:val="00B3778B"/>
    <w:rsid w:val="00B4306D"/>
    <w:rsid w:val="00B61CE7"/>
    <w:rsid w:val="00B71F42"/>
    <w:rsid w:val="00B7395A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1CAD"/>
    <w:rsid w:val="00BB4122"/>
    <w:rsid w:val="00BB6750"/>
    <w:rsid w:val="00BD2CC7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6735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E4AF3"/>
    <w:rsid w:val="00CF1B05"/>
    <w:rsid w:val="00CF1BF9"/>
    <w:rsid w:val="00CF317B"/>
    <w:rsid w:val="00CF57EF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73C39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12C6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402E3"/>
    <w:rsid w:val="00E4276F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87A54"/>
    <w:rsid w:val="00F9454C"/>
    <w:rsid w:val="00F94CB5"/>
    <w:rsid w:val="00F96BF7"/>
    <w:rsid w:val="00FB6AFE"/>
    <w:rsid w:val="00FC1C01"/>
    <w:rsid w:val="00FC1C09"/>
    <w:rsid w:val="00FD2D4F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4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4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E4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4A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E4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4A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291FC-6841-4288-BA7E-F7D15FF3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3625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45</cp:revision>
  <cp:lastPrinted>2021-01-14T05:50:00Z</cp:lastPrinted>
  <dcterms:created xsi:type="dcterms:W3CDTF">2012-02-02T11:00:00Z</dcterms:created>
  <dcterms:modified xsi:type="dcterms:W3CDTF">2021-01-14T06:04:00Z</dcterms:modified>
</cp:coreProperties>
</file>