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072FF8" w:rsidRDefault="00B54D69" w:rsidP="00072FF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B54D69">
        <w:rPr>
          <w:sz w:val="26"/>
          <w:szCs w:val="26"/>
        </w:rPr>
        <w:t xml:space="preserve">28 марта 2016 года                                                                                   </w:t>
      </w:r>
      <w:r>
        <w:rPr>
          <w:sz w:val="26"/>
          <w:szCs w:val="26"/>
        </w:rPr>
        <w:t xml:space="preserve">                           № 1/3</w:t>
      </w:r>
    </w:p>
    <w:p w:rsidR="00B54D69" w:rsidRPr="00E548AC" w:rsidRDefault="00B54D69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Default="00B54D69" w:rsidP="00B54D69">
      <w:pPr>
        <w:widowControl w:val="0"/>
        <w:ind w:right="5102"/>
        <w:jc w:val="both"/>
        <w:rPr>
          <w:kern w:val="28"/>
          <w:sz w:val="26"/>
          <w:szCs w:val="26"/>
        </w:rPr>
      </w:pPr>
      <w:r w:rsidRPr="00B54D69">
        <w:rPr>
          <w:kern w:val="28"/>
          <w:sz w:val="26"/>
          <w:szCs w:val="26"/>
        </w:rPr>
        <w:t>О состоянии коллективно-договорных отношений в организациях муниципального образования город-курорт Анапа и выполнения условий коллективных договоров  по итогам 2015 года</w:t>
      </w:r>
    </w:p>
    <w:p w:rsidR="00B54D69" w:rsidRPr="00701104" w:rsidRDefault="00B54D69" w:rsidP="0030030B">
      <w:pPr>
        <w:widowControl w:val="0"/>
        <w:ind w:firstLine="851"/>
        <w:jc w:val="both"/>
        <w:rPr>
          <w:sz w:val="26"/>
          <w:szCs w:val="26"/>
        </w:rPr>
      </w:pPr>
    </w:p>
    <w:p w:rsidR="00B54D69" w:rsidRP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 xml:space="preserve">СОЦИАЛЬНОЕ ПАРТНЕРСТВО — это система взаимоотношений между работниками, работодателями, органами государственной власти и местного самоуправления,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отношений. Основной формой социального партнерства является заключение коллективного договора и исполнение сторонами его условий. Центр занятости населения  осуществляет информирование работодателей (представителей работодателей), работников (представителей работников) по вопросам реализации трудового законодательства в муниципальном образовании город-курорт Анапа и предоставляет государственную услугу по проведению уведомительной регистрации коллективных договоров. </w:t>
      </w:r>
    </w:p>
    <w:p w:rsidR="00B54D69" w:rsidRP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 xml:space="preserve">По итогам 2015 года в МО город-курорт Анапа зарегистрировано  510 коллективных договоров с охватом работающего населения – 27 000 человек, что составляет 55% от общего количества работающих в муниципальном образовании город-курорт Анапа. На начало 2015 года количество коллективных договоров, прошедших уведомительную регистрацию, составляло 490, с охватом работающего населения 27 000. Численность работающих, охваченных коллективно-договорными отношениями,  сохранилась на том же уровне, несмотря на значительное снижение в 2015 году численности организаций, имеющих коллективные договоры. Так, были ликвидированы следующие предприятия: ЗАО «Торговый дом «Алмаз Холдинг», ООО </w:t>
      </w:r>
      <w:proofErr w:type="spellStart"/>
      <w:r w:rsidRPr="00B54D69">
        <w:rPr>
          <w:sz w:val="26"/>
          <w:szCs w:val="26"/>
          <w:lang w:eastAsia="ru-RU"/>
        </w:rPr>
        <w:t>Тепичный</w:t>
      </w:r>
      <w:proofErr w:type="spellEnd"/>
      <w:r w:rsidRPr="00B54D69">
        <w:rPr>
          <w:sz w:val="26"/>
          <w:szCs w:val="26"/>
          <w:lang w:eastAsia="ru-RU"/>
        </w:rPr>
        <w:t xml:space="preserve"> комбинат «Анапа», ИП </w:t>
      </w:r>
      <w:proofErr w:type="spellStart"/>
      <w:r w:rsidRPr="00B54D69">
        <w:rPr>
          <w:sz w:val="26"/>
          <w:szCs w:val="26"/>
          <w:lang w:eastAsia="ru-RU"/>
        </w:rPr>
        <w:t>Щекотова</w:t>
      </w:r>
      <w:proofErr w:type="spellEnd"/>
      <w:r w:rsidRPr="00B54D69">
        <w:rPr>
          <w:sz w:val="26"/>
          <w:szCs w:val="26"/>
          <w:lang w:eastAsia="ru-RU"/>
        </w:rPr>
        <w:t xml:space="preserve"> О.С., ООО «Универсал». ФГКУ «Дом отдыха «Пограничник России» ФСБ России - реорганизовано в форме преобразования в ФГКУ «Санаторий «Анапа», ЗАО «Первомайское» на момент перезаключения коллективного договора оказалась на стадии конкурсного управления, ОАО Транспортное предприятие «</w:t>
      </w:r>
      <w:proofErr w:type="spellStart"/>
      <w:r w:rsidRPr="00B54D69">
        <w:rPr>
          <w:sz w:val="26"/>
          <w:szCs w:val="26"/>
          <w:lang w:eastAsia="ru-RU"/>
        </w:rPr>
        <w:t>Агропромтранс</w:t>
      </w:r>
      <w:proofErr w:type="spellEnd"/>
      <w:r w:rsidRPr="00B54D69">
        <w:rPr>
          <w:sz w:val="26"/>
          <w:szCs w:val="26"/>
          <w:lang w:eastAsia="ru-RU"/>
        </w:rPr>
        <w:t>», ИП Косенко Ю.П., ИП Замковой А.В. прекратили вести хозяйственную деятельность. Есть такие предприятия, где работодатель отказался от заключения коллективного договора на новый срок - ООО «Капитан». Сегодня, как никогда раннее, одной из основных задач сторон социального партнерства становится  соблюдение и защита трудовых  прав работников на уровне предприятий и организаций.</w:t>
      </w:r>
    </w:p>
    <w:p w:rsidR="00B54D69" w:rsidRP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 xml:space="preserve">С целью привлечения работодателей и представителей работников  к заключению коллективных договоров за 2015 год было проведено 36 семинаров-совещаний, в которых приняло участие 618 организаций и 134 индивидуальных предпринимателя, опубликовано 23 статьи по теме социальное партнерство и 19 статей по </w:t>
      </w:r>
      <w:proofErr w:type="spellStart"/>
      <w:r w:rsidRPr="00B54D69">
        <w:rPr>
          <w:sz w:val="26"/>
          <w:szCs w:val="26"/>
          <w:lang w:eastAsia="ru-RU"/>
        </w:rPr>
        <w:t>трудоохранной</w:t>
      </w:r>
      <w:proofErr w:type="spellEnd"/>
      <w:r w:rsidRPr="00B54D69">
        <w:rPr>
          <w:sz w:val="26"/>
          <w:szCs w:val="26"/>
          <w:lang w:eastAsia="ru-RU"/>
        </w:rPr>
        <w:t xml:space="preserve"> тематике.</w:t>
      </w:r>
    </w:p>
    <w:p w:rsidR="00B54D69" w:rsidRP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 xml:space="preserve">В 2015 году впервые заключили коллективные договоры 34 организации (ИП): </w:t>
      </w:r>
      <w:proofErr w:type="gramStart"/>
      <w:r w:rsidRPr="00B54D69">
        <w:rPr>
          <w:sz w:val="26"/>
          <w:szCs w:val="26"/>
          <w:lang w:eastAsia="ru-RU"/>
        </w:rPr>
        <w:t xml:space="preserve">ИП </w:t>
      </w:r>
      <w:proofErr w:type="spellStart"/>
      <w:r w:rsidRPr="00B54D69">
        <w:rPr>
          <w:sz w:val="26"/>
          <w:szCs w:val="26"/>
          <w:lang w:eastAsia="ru-RU"/>
        </w:rPr>
        <w:t>Нурджанян</w:t>
      </w:r>
      <w:proofErr w:type="spellEnd"/>
      <w:r w:rsidRPr="00B54D69">
        <w:rPr>
          <w:sz w:val="26"/>
          <w:szCs w:val="26"/>
          <w:lang w:eastAsia="ru-RU"/>
        </w:rPr>
        <w:t xml:space="preserve"> С.Ш., ООО «Радуга», ИП Шевченко Е.С., ООО «Модус-В», МАОУ Кадетская школа им. Героя Советского Союза Старшинова Н.В., МБУ МО г-к Анапа </w:t>
      </w:r>
      <w:r w:rsidRPr="00B54D69">
        <w:rPr>
          <w:sz w:val="26"/>
          <w:szCs w:val="26"/>
          <w:lang w:eastAsia="ru-RU"/>
        </w:rPr>
        <w:lastRenderedPageBreak/>
        <w:t xml:space="preserve">«Центр развития и оказания курортных услуг», ИП Максимова Н.А., ООО «Пансионат «Эдем», Войсковая часть 40515, «ООО Пансионат Фея-3», ИП </w:t>
      </w:r>
      <w:proofErr w:type="spellStart"/>
      <w:r w:rsidRPr="00B54D69">
        <w:rPr>
          <w:sz w:val="26"/>
          <w:szCs w:val="26"/>
          <w:lang w:eastAsia="ru-RU"/>
        </w:rPr>
        <w:t>Жамов</w:t>
      </w:r>
      <w:proofErr w:type="spellEnd"/>
      <w:r w:rsidRPr="00B54D69">
        <w:rPr>
          <w:sz w:val="26"/>
          <w:szCs w:val="26"/>
          <w:lang w:eastAsia="ru-RU"/>
        </w:rPr>
        <w:t xml:space="preserve"> А.А., ООО «Строитель», ООО «Фея-4», ИП Яценко Ю.В., ООО «Помощь», ООО</w:t>
      </w:r>
      <w:proofErr w:type="gramEnd"/>
      <w:r w:rsidRPr="00B54D69">
        <w:rPr>
          <w:sz w:val="26"/>
          <w:szCs w:val="26"/>
          <w:lang w:eastAsia="ru-RU"/>
        </w:rPr>
        <w:t xml:space="preserve"> «</w:t>
      </w:r>
      <w:proofErr w:type="gramStart"/>
      <w:r w:rsidRPr="00B54D69">
        <w:rPr>
          <w:sz w:val="26"/>
          <w:szCs w:val="26"/>
          <w:lang w:eastAsia="ru-RU"/>
        </w:rPr>
        <w:t>Зори Анапы», ООО «Санаторий «Огонек», ООО «Одиссея», ООО «</w:t>
      </w:r>
      <w:proofErr w:type="spellStart"/>
      <w:r w:rsidRPr="00B54D69">
        <w:rPr>
          <w:sz w:val="26"/>
          <w:szCs w:val="26"/>
          <w:lang w:eastAsia="ru-RU"/>
        </w:rPr>
        <w:t>Ателика</w:t>
      </w:r>
      <w:proofErr w:type="spellEnd"/>
      <w:r w:rsidRPr="00B54D69">
        <w:rPr>
          <w:sz w:val="26"/>
          <w:szCs w:val="26"/>
          <w:lang w:eastAsia="ru-RU"/>
        </w:rPr>
        <w:t xml:space="preserve"> Гранд Прибой», ИП Гончаров М.В.</w:t>
      </w:r>
      <w:proofErr w:type="gramEnd"/>
      <w:r w:rsidRPr="00B54D69">
        <w:rPr>
          <w:sz w:val="26"/>
          <w:szCs w:val="26"/>
          <w:lang w:eastAsia="ru-RU"/>
        </w:rPr>
        <w:t>, ООО «Ла Веранда», ИП Печерица Р.В., ООО Сервисное предприятие «ЛИФТ», ООО «Лифт Гранд Технолоджи», ООО «Атлант мега групп», МБУЗ «Патологоанатомическое Бюро», ООО «Инвест-СБ», ООО «Аспект», ИП Васильева С.Н., ООО «Вымпел», ООО «Славянка Сервис</w:t>
      </w:r>
      <w:bookmarkStart w:id="0" w:name="_GoBack"/>
      <w:bookmarkEnd w:id="0"/>
      <w:r w:rsidRPr="00B54D69">
        <w:rPr>
          <w:sz w:val="26"/>
          <w:szCs w:val="26"/>
          <w:lang w:eastAsia="ru-RU"/>
        </w:rPr>
        <w:t xml:space="preserve">», ООО «Корона», ИП </w:t>
      </w:r>
      <w:proofErr w:type="spellStart"/>
      <w:r w:rsidRPr="00B54D69">
        <w:rPr>
          <w:sz w:val="26"/>
          <w:szCs w:val="26"/>
          <w:lang w:eastAsia="ru-RU"/>
        </w:rPr>
        <w:t>Верстунин</w:t>
      </w:r>
      <w:proofErr w:type="spellEnd"/>
      <w:r w:rsidRPr="00B54D69">
        <w:rPr>
          <w:sz w:val="26"/>
          <w:szCs w:val="26"/>
          <w:lang w:eastAsia="ru-RU"/>
        </w:rPr>
        <w:t xml:space="preserve"> В.П., ООО «</w:t>
      </w:r>
      <w:proofErr w:type="spellStart"/>
      <w:r w:rsidRPr="00B54D69">
        <w:rPr>
          <w:sz w:val="26"/>
          <w:szCs w:val="26"/>
          <w:lang w:eastAsia="ru-RU"/>
        </w:rPr>
        <w:t>Теплоэком</w:t>
      </w:r>
      <w:proofErr w:type="spellEnd"/>
      <w:r w:rsidRPr="00B54D69">
        <w:rPr>
          <w:sz w:val="26"/>
          <w:szCs w:val="26"/>
          <w:lang w:eastAsia="ru-RU"/>
        </w:rPr>
        <w:t>»</w:t>
      </w:r>
      <w:r w:rsidR="00117045">
        <w:rPr>
          <w:sz w:val="26"/>
          <w:szCs w:val="26"/>
          <w:lang w:eastAsia="ru-RU"/>
        </w:rPr>
        <w:t>.</w:t>
      </w:r>
    </w:p>
    <w:p w:rsidR="00B54D69" w:rsidRP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>Практически все работодатели, заключившие коллективные договоры представили информацию о выполнении условий коллективного договора за 2015 год. В результате проведенного анализа общая сумма затрат по предоставлению дополнительных гарантий, компенсаций и льгот работникам в 2015 году составила 70 млн. рублей, в том числе по видам:</w:t>
      </w:r>
    </w:p>
    <w:p w:rsidR="00B54D69" w:rsidRPr="00B54D69" w:rsidRDefault="00B54D69" w:rsidP="00B54D69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>1.</w:t>
      </w:r>
      <w:r w:rsidRPr="00B54D69">
        <w:rPr>
          <w:sz w:val="26"/>
          <w:szCs w:val="26"/>
          <w:lang w:eastAsia="ru-RU"/>
        </w:rPr>
        <w:tab/>
        <w:t>Материальная помощь: к юбилейным датам, на лечение, в связи с регистрацией брака, на погребение, в связи с уходом на пенсию, к ежегодному отпуску, в связи с трудным материальным положением, к профессиональным праздникам составила 34 млн. рублей, что вдвое больше по сравнению с аналогичным периодом 2014 года.</w:t>
      </w:r>
    </w:p>
    <w:p w:rsidR="00B54D69" w:rsidRPr="00B54D69" w:rsidRDefault="00B54D69" w:rsidP="00B54D69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>2.</w:t>
      </w:r>
      <w:r w:rsidRPr="00B54D69">
        <w:rPr>
          <w:sz w:val="26"/>
          <w:szCs w:val="26"/>
          <w:lang w:eastAsia="ru-RU"/>
        </w:rPr>
        <w:tab/>
        <w:t>Оплата стоимости медицинских услуг, в том числе санаторно-курортного лечения работников и детей работников (за исключением средств Фонда социального страхования РФ) составила 5,4 млн. рублей.</w:t>
      </w:r>
    </w:p>
    <w:p w:rsidR="00B54D69" w:rsidRPr="00B54D69" w:rsidRDefault="00B54D69" w:rsidP="00B54D69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>3.</w:t>
      </w:r>
      <w:r w:rsidRPr="00B54D69">
        <w:rPr>
          <w:sz w:val="26"/>
          <w:szCs w:val="26"/>
          <w:lang w:eastAsia="ru-RU"/>
        </w:rPr>
        <w:tab/>
        <w:t>Показатель по выделению автотранспорта</w:t>
      </w:r>
      <w:r>
        <w:rPr>
          <w:sz w:val="26"/>
          <w:szCs w:val="26"/>
          <w:lang w:eastAsia="ru-RU"/>
        </w:rPr>
        <w:t xml:space="preserve"> остался на уровне 2014 года – </w:t>
      </w:r>
      <w:r w:rsidRPr="00B54D69">
        <w:rPr>
          <w:sz w:val="26"/>
          <w:szCs w:val="26"/>
          <w:lang w:eastAsia="ru-RU"/>
        </w:rPr>
        <w:t>5,5 млн. рублей.</w:t>
      </w:r>
    </w:p>
    <w:p w:rsidR="00B54D69" w:rsidRPr="00B54D69" w:rsidRDefault="00B54D69" w:rsidP="00B54D69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>4.</w:t>
      </w:r>
      <w:r w:rsidRPr="00B54D69">
        <w:rPr>
          <w:sz w:val="26"/>
          <w:szCs w:val="26"/>
          <w:lang w:eastAsia="ru-RU"/>
        </w:rPr>
        <w:tab/>
        <w:t>Оплата стоимости питания в организациях и учреждениях МО г-к Анапа в 2015 году составила 4 млн. рублей, что значительно превышает показатели 2014 года.</w:t>
      </w:r>
    </w:p>
    <w:p w:rsidR="00B54D69" w:rsidRP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 xml:space="preserve">5. Более 3 млн. рублей работодатели муниципального образования город-курорт Анапа затратили на оплату обучения работников и их детей, выплату стипендии. </w:t>
      </w:r>
    </w:p>
    <w:p w:rsidR="00B54D69" w:rsidRP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>6. Такая же сумма была расходована на обеспечение работников топливом, компенсацию оплаты коммунальных услуг (за исключением работников социальной сферы).</w:t>
      </w:r>
    </w:p>
    <w:p w:rsidR="00B54D69" w:rsidRP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>7. Подарками (к праздникам, к дням рождения и т. п.) работодатели обеспечили своих работников на общую сумму 6 млн. рублей (в два раза больше, чем в 2014 году).</w:t>
      </w:r>
    </w:p>
    <w:p w:rsidR="00B54D69" w:rsidRDefault="00B54D69" w:rsidP="00B54D69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B54D69">
        <w:rPr>
          <w:sz w:val="26"/>
          <w:szCs w:val="26"/>
          <w:lang w:eastAsia="ru-RU"/>
        </w:rPr>
        <w:t xml:space="preserve">Таким образом, из 477 </w:t>
      </w:r>
      <w:proofErr w:type="gramStart"/>
      <w:r w:rsidRPr="00B54D69">
        <w:rPr>
          <w:sz w:val="26"/>
          <w:szCs w:val="26"/>
          <w:lang w:eastAsia="ru-RU"/>
        </w:rPr>
        <w:t>организаций, сдавших письменную информацию о выполнении мероприятий своего коллективного договора в 275-ти предусмотрены</w:t>
      </w:r>
      <w:proofErr w:type="gramEnd"/>
      <w:r w:rsidRPr="00B54D69">
        <w:rPr>
          <w:sz w:val="26"/>
          <w:szCs w:val="26"/>
          <w:lang w:eastAsia="ru-RU"/>
        </w:rPr>
        <w:t xml:space="preserve"> и предоставляются дополнительные гарантии и компенсации работникам, что составляет 60% от общего числа коллективных договоров. </w:t>
      </w:r>
    </w:p>
    <w:p w:rsidR="00A403BF" w:rsidRPr="00701104" w:rsidRDefault="00A403BF" w:rsidP="00B54D69">
      <w:pPr>
        <w:widowControl w:val="0"/>
        <w:ind w:firstLine="851"/>
        <w:jc w:val="both"/>
        <w:rPr>
          <w:sz w:val="26"/>
          <w:szCs w:val="26"/>
        </w:rPr>
      </w:pPr>
      <w:r w:rsidRPr="00675699">
        <w:rPr>
          <w:sz w:val="26"/>
          <w:szCs w:val="26"/>
        </w:rPr>
        <w:t xml:space="preserve">Заслушав и обсудив информацию </w:t>
      </w:r>
      <w:r w:rsidR="005002F2">
        <w:rPr>
          <w:sz w:val="26"/>
          <w:szCs w:val="26"/>
        </w:rPr>
        <w:t>ведущего специалиста</w:t>
      </w:r>
      <w:r w:rsidR="00517F8B" w:rsidRPr="00517F8B">
        <w:rPr>
          <w:sz w:val="26"/>
          <w:szCs w:val="26"/>
        </w:rPr>
        <w:t xml:space="preserve"> отдела трудовых отношений, охраны труда и взаимодействия с работодателями ГКУ КК «Центр занятости населения в г. Анапа» </w:t>
      </w:r>
      <w:r w:rsidR="005002F2">
        <w:rPr>
          <w:sz w:val="26"/>
          <w:szCs w:val="26"/>
        </w:rPr>
        <w:t>А.С. Семакиной</w:t>
      </w:r>
      <w:r w:rsidR="00517F8B" w:rsidRPr="00517F8B">
        <w:rPr>
          <w:sz w:val="26"/>
          <w:szCs w:val="26"/>
        </w:rPr>
        <w:t xml:space="preserve"> </w:t>
      </w:r>
      <w:r w:rsidRPr="00675699">
        <w:rPr>
          <w:sz w:val="26"/>
          <w:szCs w:val="26"/>
        </w:rPr>
        <w:t>«</w:t>
      </w:r>
      <w:r w:rsidR="006A0075" w:rsidRPr="006A0075">
        <w:rPr>
          <w:sz w:val="26"/>
          <w:szCs w:val="26"/>
        </w:rPr>
        <w:t>О состоянии коллективно-договорных отношений в  организациях муниципального образования город-курорт Анапа и выполнения условий коллективных договоров  по итогам 201</w:t>
      </w:r>
      <w:r w:rsidR="00B54D69">
        <w:rPr>
          <w:sz w:val="26"/>
          <w:szCs w:val="26"/>
        </w:rPr>
        <w:t>5</w:t>
      </w:r>
      <w:r w:rsidR="006A0075" w:rsidRPr="006A0075">
        <w:rPr>
          <w:sz w:val="26"/>
          <w:szCs w:val="26"/>
        </w:rPr>
        <w:t xml:space="preserve"> года</w:t>
      </w:r>
      <w:r w:rsidRPr="00701104">
        <w:rPr>
          <w:sz w:val="26"/>
          <w:szCs w:val="26"/>
        </w:rPr>
        <w:t>» территориальная трехсторонняя комиссия РЕШИЛА:</w:t>
      </w:r>
    </w:p>
    <w:p w:rsidR="006A0075" w:rsidRPr="006A0075" w:rsidRDefault="006A0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0075">
        <w:rPr>
          <w:sz w:val="26"/>
          <w:szCs w:val="26"/>
        </w:rPr>
        <w:t>1. Информацию «О состоянии коллективно-договорных отношений в организациях муниципального образования город-курорт Анапа и выполнения условий коллективных договоров по итогам 201</w:t>
      </w:r>
      <w:r w:rsidR="00B54D69">
        <w:rPr>
          <w:sz w:val="26"/>
          <w:szCs w:val="26"/>
        </w:rPr>
        <w:t>5</w:t>
      </w:r>
      <w:r w:rsidRPr="006A0075">
        <w:rPr>
          <w:sz w:val="26"/>
          <w:szCs w:val="26"/>
        </w:rPr>
        <w:t xml:space="preserve"> года» принять к сведению.</w:t>
      </w:r>
    </w:p>
    <w:p w:rsidR="006A0075" w:rsidRDefault="00671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0075" w:rsidRPr="006A0075">
        <w:rPr>
          <w:sz w:val="26"/>
          <w:szCs w:val="26"/>
        </w:rPr>
        <w:t>. Рекомендовать Координационному совету организаций профсоюзов муниципального образования город-курорт Анапа, отраслевым организациям профсоюзов, профсоюзным организациям предприятий обеспечить 100% контроль выполнения сторонами условий коллективных договоров, путем сбора отчетной информации.</w:t>
      </w:r>
    </w:p>
    <w:p w:rsidR="00212007" w:rsidRDefault="00212007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212007">
        <w:rPr>
          <w:sz w:val="26"/>
          <w:szCs w:val="26"/>
        </w:rPr>
        <w:t xml:space="preserve">. Рекомендовать Координационному совету организаций профсоюзов муниципального образования город-курорт Анапа </w:t>
      </w:r>
      <w:r>
        <w:rPr>
          <w:sz w:val="26"/>
          <w:szCs w:val="26"/>
        </w:rPr>
        <w:t xml:space="preserve">организовать работу по привлечению </w:t>
      </w:r>
      <w:r w:rsidR="00BB43C7">
        <w:rPr>
          <w:sz w:val="26"/>
          <w:szCs w:val="26"/>
        </w:rPr>
        <w:t>организаций муниципального образования в профсоюзы.</w:t>
      </w:r>
    </w:p>
    <w:p w:rsidR="006A0075" w:rsidRPr="006A0075" w:rsidRDefault="00212007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0075" w:rsidRPr="006A0075">
        <w:rPr>
          <w:sz w:val="26"/>
          <w:szCs w:val="26"/>
        </w:rPr>
        <w:t>. Рекомендовать ГКУ КК «Центр занятости населения города Анапа»:</w:t>
      </w:r>
    </w:p>
    <w:p w:rsidR="006A0075" w:rsidRPr="006A0075" w:rsidRDefault="00212007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0075" w:rsidRPr="006A0075">
        <w:rPr>
          <w:sz w:val="26"/>
          <w:szCs w:val="26"/>
        </w:rPr>
        <w:t>.1. Продолжить разъяснительную работу по заключению коллективных договоров и соглашений, оказывать методическую помощь работодателям, представителям работодателей и профессиональным союзам при их заключении и выполнении.</w:t>
      </w:r>
    </w:p>
    <w:p w:rsidR="006A0075" w:rsidRPr="006A0075" w:rsidRDefault="00212007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0075" w:rsidRPr="006A0075">
        <w:rPr>
          <w:sz w:val="26"/>
          <w:szCs w:val="26"/>
        </w:rPr>
        <w:t>.2. Обобщать данные о предоставляемых дополнительных гарантиях по работодателям и видам гарантий.</w:t>
      </w:r>
    </w:p>
    <w:p w:rsidR="006A0075" w:rsidRDefault="00212007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0075" w:rsidRPr="006A0075">
        <w:rPr>
          <w:sz w:val="26"/>
          <w:szCs w:val="26"/>
        </w:rPr>
        <w:t xml:space="preserve">.3. Продолжить практику использования для проведения разъяснительной работы по заключению коллективных договоров информационный портал </w:t>
      </w:r>
      <w:r w:rsidR="00BB43C7">
        <w:rPr>
          <w:sz w:val="26"/>
          <w:szCs w:val="26"/>
        </w:rPr>
        <w:t xml:space="preserve">            </w:t>
      </w:r>
      <w:hyperlink r:id="rId6" w:history="1">
        <w:r w:rsidR="0053159A" w:rsidRPr="00686A71">
          <w:rPr>
            <w:rStyle w:val="a7"/>
            <w:sz w:val="26"/>
            <w:szCs w:val="26"/>
          </w:rPr>
          <w:t>www.anapa-official.ru</w:t>
        </w:r>
      </w:hyperlink>
      <w:r w:rsidR="006A0075" w:rsidRPr="006A0075">
        <w:rPr>
          <w:sz w:val="26"/>
          <w:szCs w:val="26"/>
        </w:rPr>
        <w:t>.</w:t>
      </w:r>
    </w:p>
    <w:p w:rsidR="0053159A" w:rsidRPr="006A0075" w:rsidRDefault="00212007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159A">
        <w:rPr>
          <w:sz w:val="26"/>
          <w:szCs w:val="26"/>
        </w:rPr>
        <w:t>. Рекомендовать отраслевым (функциональным) органам администрации муниципального образования город-курорт Анапа представить информацию о наличии (отсутствии) коллективных договоров в подведомственных организациях в срок до 01.05.2016 для рассмотрения на очередном заседании комиссии.</w:t>
      </w:r>
    </w:p>
    <w:p w:rsidR="006A0075" w:rsidRPr="00E548AC" w:rsidRDefault="006A0075" w:rsidP="006A007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686"/>
        <w:gridCol w:w="3402"/>
      </w:tblGrid>
      <w:tr w:rsidR="00784F50" w:rsidRPr="00E548AC" w:rsidTr="00671075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6A0075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</w:t>
            </w:r>
            <w:r w:rsidR="006A0075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6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B54D69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Залесская</w:t>
            </w:r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6710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B54D6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117045"/>
    <w:rsid w:val="001A1F51"/>
    <w:rsid w:val="001B60D3"/>
    <w:rsid w:val="001C2504"/>
    <w:rsid w:val="00212007"/>
    <w:rsid w:val="002334AF"/>
    <w:rsid w:val="00234ACF"/>
    <w:rsid w:val="002D2C7F"/>
    <w:rsid w:val="0030030B"/>
    <w:rsid w:val="00304021"/>
    <w:rsid w:val="003108C1"/>
    <w:rsid w:val="00313BA3"/>
    <w:rsid w:val="00395D8E"/>
    <w:rsid w:val="00404E0A"/>
    <w:rsid w:val="00433484"/>
    <w:rsid w:val="00470ACB"/>
    <w:rsid w:val="00494474"/>
    <w:rsid w:val="004B7393"/>
    <w:rsid w:val="004F31A4"/>
    <w:rsid w:val="005002F2"/>
    <w:rsid w:val="00517F8B"/>
    <w:rsid w:val="0053159A"/>
    <w:rsid w:val="005A5BFC"/>
    <w:rsid w:val="0066068F"/>
    <w:rsid w:val="00671075"/>
    <w:rsid w:val="00675699"/>
    <w:rsid w:val="00683D5D"/>
    <w:rsid w:val="006A0075"/>
    <w:rsid w:val="00701104"/>
    <w:rsid w:val="00717FC1"/>
    <w:rsid w:val="00784F50"/>
    <w:rsid w:val="007A39DD"/>
    <w:rsid w:val="007C243D"/>
    <w:rsid w:val="00811391"/>
    <w:rsid w:val="0096087E"/>
    <w:rsid w:val="009C7881"/>
    <w:rsid w:val="00A403BF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4ED4"/>
    <w:rsid w:val="00C97501"/>
    <w:rsid w:val="00CB26E2"/>
    <w:rsid w:val="00CE65C8"/>
    <w:rsid w:val="00D03BE6"/>
    <w:rsid w:val="00D97AE4"/>
    <w:rsid w:val="00DF20D4"/>
    <w:rsid w:val="00E12F5E"/>
    <w:rsid w:val="00E15A5D"/>
    <w:rsid w:val="00E225E0"/>
    <w:rsid w:val="00E47B83"/>
    <w:rsid w:val="00E548AC"/>
    <w:rsid w:val="00E603A7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-offic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440F-563D-4AA4-B361-472094F8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45</cp:revision>
  <cp:lastPrinted>2016-03-30T11:44:00Z</cp:lastPrinted>
  <dcterms:created xsi:type="dcterms:W3CDTF">2010-12-28T05:15:00Z</dcterms:created>
  <dcterms:modified xsi:type="dcterms:W3CDTF">2016-05-23T15:26:00Z</dcterms:modified>
</cp:coreProperties>
</file>